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0EA" w:rsidRPr="00C050EA" w:rsidRDefault="00C050EA" w:rsidP="00C050EA">
      <w:pPr>
        <w:pStyle w:val="NormalWeb"/>
        <w:spacing w:before="0" w:beforeAutospacing="0" w:after="120" w:afterAutospacing="0"/>
        <w:textAlignment w:val="baseline"/>
        <w:rPr>
          <w:rFonts w:ascii="Myriad Pro" w:eastAsia="MS PGothic" w:hAnsi="Myriad Pro" w:cs="+mn-cs"/>
          <w:b/>
          <w:bCs/>
          <w:color w:val="000000"/>
          <w:kern w:val="24"/>
          <w:sz w:val="12"/>
        </w:rPr>
      </w:pPr>
    </w:p>
    <w:p w:rsidR="00BB2007" w:rsidRDefault="00BB2007" w:rsidP="004C6F49">
      <w:pPr>
        <w:pStyle w:val="Title"/>
      </w:pPr>
      <w:r w:rsidRPr="00BB2007">
        <w:t>KENTRACK 4.0: A RAILWAY TRACKBED STRUCTURAL DESIGN PROGRAM</w:t>
      </w:r>
    </w:p>
    <w:p w:rsidR="00C050EA" w:rsidRPr="00604E4A" w:rsidRDefault="00BB2007" w:rsidP="004C6F49">
      <w:pPr>
        <w:pStyle w:val="Subtitle"/>
        <w:spacing w:after="240"/>
      </w:pPr>
      <w:proofErr w:type="spellStart"/>
      <w:r>
        <w:t>Shushu</w:t>
      </w:r>
      <w:proofErr w:type="spellEnd"/>
      <w:r>
        <w:t xml:space="preserve"> Liu</w:t>
      </w:r>
      <w:r w:rsidR="00934776" w:rsidRPr="00934776">
        <w:t xml:space="preserve">, </w:t>
      </w:r>
      <w:r>
        <w:t xml:space="preserve">Jerry </w:t>
      </w:r>
      <w:r w:rsidR="00896B9E">
        <w:t xml:space="preserve">G. </w:t>
      </w:r>
      <w:r>
        <w:t xml:space="preserve">Rose, </w:t>
      </w:r>
      <w:r w:rsidR="00934776" w:rsidRPr="00934776">
        <w:t xml:space="preserve">Reginald R. </w:t>
      </w:r>
      <w:proofErr w:type="spellStart"/>
      <w:r w:rsidR="00934776" w:rsidRPr="00934776">
        <w:t>Souleyrette</w:t>
      </w:r>
      <w:bookmarkStart w:id="0" w:name="_GoBack"/>
      <w:bookmarkEnd w:id="0"/>
      <w:proofErr w:type="spellEnd"/>
    </w:p>
    <w:p w:rsidR="00934776" w:rsidRDefault="006C6A84" w:rsidP="004C6F49">
      <w:pPr>
        <w:spacing w:line="240" w:lineRule="auto"/>
        <w:sectPr w:rsidR="00934776" w:rsidSect="00C050EA">
          <w:headerReference w:type="default" r:id="rId8"/>
          <w:footerReference w:type="default" r:id="rId9"/>
          <w:pgSz w:w="12240" w:h="15840"/>
          <w:pgMar w:top="720" w:right="720" w:bottom="720" w:left="720" w:header="144" w:footer="144" w:gutter="0"/>
          <w:cols w:space="720"/>
          <w:docGrid w:linePitch="360"/>
        </w:sectPr>
      </w:pPr>
      <w:r>
        <w:t xml:space="preserve">Department of </w:t>
      </w:r>
      <w:r w:rsidR="00E26009">
        <w:t>Civil</w:t>
      </w:r>
      <w:r w:rsidR="00934776" w:rsidRPr="00934776">
        <w:t xml:space="preserve"> Engineering, Univer</w:t>
      </w:r>
      <w:r>
        <w:t>sity of Kentucky, Lexington, KY</w:t>
      </w:r>
    </w:p>
    <w:p w:rsidR="00C765A2" w:rsidRDefault="00BB2007" w:rsidP="00C765A2">
      <w:pPr>
        <w:spacing w:line="240" w:lineRule="auto"/>
        <w:jc w:val="both"/>
        <w:rPr>
          <w:b/>
          <w:bCs/>
        </w:rPr>
      </w:pPr>
      <w:r w:rsidRPr="00BB2007">
        <w:rPr>
          <w:b/>
          <w:bCs/>
        </w:rPr>
        <w:lastRenderedPageBreak/>
        <w:t xml:space="preserve">The KENTRACK program is a finite element based railway </w:t>
      </w:r>
      <w:proofErr w:type="spellStart"/>
      <w:r w:rsidRPr="00BB2007">
        <w:rPr>
          <w:b/>
          <w:bCs/>
        </w:rPr>
        <w:t>trackbed</w:t>
      </w:r>
      <w:proofErr w:type="spellEnd"/>
      <w:r w:rsidRPr="00BB2007">
        <w:rPr>
          <w:b/>
          <w:bCs/>
        </w:rPr>
        <w:t xml:space="preserve"> structural design program that can analyze </w:t>
      </w:r>
      <w:proofErr w:type="spellStart"/>
      <w:r w:rsidRPr="00BB2007">
        <w:rPr>
          <w:b/>
          <w:bCs/>
        </w:rPr>
        <w:t>trackbeds</w:t>
      </w:r>
      <w:proofErr w:type="spellEnd"/>
      <w:r w:rsidRPr="00BB2007">
        <w:rPr>
          <w:b/>
          <w:bCs/>
        </w:rPr>
        <w:t xml:space="preserve"> having various combinations of all-granular and asphalt-bound layered support. It is applicable for calculating compressive stresses at the top of subgrade</w:t>
      </w:r>
      <w:r w:rsidR="00317A85">
        <w:rPr>
          <w:b/>
          <w:bCs/>
        </w:rPr>
        <w:t xml:space="preserve"> and tensile strains at the bottom of the asphalt layer for </w:t>
      </w:r>
      <w:proofErr w:type="spellStart"/>
      <w:r w:rsidRPr="00BB2007">
        <w:rPr>
          <w:b/>
          <w:bCs/>
        </w:rPr>
        <w:t>trackbeds</w:t>
      </w:r>
      <w:proofErr w:type="spellEnd"/>
      <w:r w:rsidRPr="00BB2007">
        <w:rPr>
          <w:b/>
          <w:bCs/>
        </w:rPr>
        <w:t xml:space="preserve"> containing an asphalt layer. The program was recently expanded to include both English and international units. More importantly, properties of performance graded (PG) asphalt binders and the </w:t>
      </w:r>
      <w:proofErr w:type="spellStart"/>
      <w:r w:rsidRPr="00BB2007">
        <w:rPr>
          <w:b/>
          <w:bCs/>
        </w:rPr>
        <w:t>Witczak</w:t>
      </w:r>
      <w:proofErr w:type="spellEnd"/>
      <w:r w:rsidRPr="00BB2007">
        <w:rPr>
          <w:b/>
          <w:bCs/>
        </w:rPr>
        <w:t xml:space="preserve"> E* predictive model </w:t>
      </w:r>
      <w:r w:rsidR="0066485B">
        <w:rPr>
          <w:b/>
          <w:bCs/>
        </w:rPr>
        <w:t>were</w:t>
      </w:r>
      <w:r w:rsidRPr="00BB2007">
        <w:rPr>
          <w:b/>
          <w:bCs/>
        </w:rPr>
        <w:t xml:space="preserve"> incorporated in the 4.0 Version of the program. Component layers of typical </w:t>
      </w:r>
      <w:proofErr w:type="spellStart"/>
      <w:r w:rsidRPr="00BB2007">
        <w:rPr>
          <w:b/>
          <w:bCs/>
        </w:rPr>
        <w:t>trackbed</w:t>
      </w:r>
      <w:proofErr w:type="spellEnd"/>
      <w:r w:rsidRPr="00BB2007">
        <w:rPr>
          <w:b/>
          <w:bCs/>
        </w:rPr>
        <w:t xml:space="preserve"> support systems </w:t>
      </w:r>
      <w:r w:rsidR="00317A85">
        <w:rPr>
          <w:b/>
          <w:bCs/>
        </w:rPr>
        <w:t>were</w:t>
      </w:r>
      <w:r w:rsidRPr="00BB2007">
        <w:rPr>
          <w:b/>
          <w:bCs/>
        </w:rPr>
        <w:t xml:space="preserve"> analyzed while evaluating the significance of layer thicknesses and material properties on design and predicted performance. Variances in subgrade modulus and the incorporation of a layer of asphalt within the track structure have significant effects on subgrade vertical compressive stresses and predicted </w:t>
      </w:r>
      <w:proofErr w:type="spellStart"/>
      <w:r w:rsidRPr="00BB2007">
        <w:rPr>
          <w:b/>
          <w:bCs/>
        </w:rPr>
        <w:t>trackbed</w:t>
      </w:r>
      <w:proofErr w:type="spellEnd"/>
      <w:r w:rsidRPr="00BB2007">
        <w:rPr>
          <w:b/>
          <w:bCs/>
        </w:rPr>
        <w:t xml:space="preserve"> service lives. </w:t>
      </w:r>
    </w:p>
    <w:p w:rsidR="00C050EA" w:rsidRPr="00C765A2" w:rsidRDefault="009461CA" w:rsidP="00C765A2">
      <w:pPr>
        <w:pStyle w:val="Heading1"/>
        <w:spacing w:before="240"/>
        <w:jc w:val="both"/>
      </w:pPr>
      <w:r>
        <w:t>Introduction</w:t>
      </w:r>
    </w:p>
    <w:p w:rsidR="00C765A2" w:rsidRDefault="000B6F22" w:rsidP="00C765A2">
      <w:pPr>
        <w:spacing w:after="120" w:line="240" w:lineRule="auto"/>
        <w:jc w:val="both"/>
        <w:rPr>
          <w:bCs/>
        </w:rPr>
      </w:pPr>
      <w:r w:rsidRPr="008C4AC8">
        <w:rPr>
          <w:bCs/>
        </w:rPr>
        <w:t>In the previous KENTRACK versions, asphalt dynamic modulus was predicted using the method developed by the Asphalt Institute (</w:t>
      </w:r>
      <w:r w:rsidR="00562595">
        <w:rPr>
          <w:bCs/>
        </w:rPr>
        <w:t>1</w:t>
      </w:r>
      <w:r w:rsidRPr="008C4AC8">
        <w:rPr>
          <w:bCs/>
        </w:rPr>
        <w:t xml:space="preserve">). </w:t>
      </w:r>
      <w:r w:rsidR="00562595">
        <w:rPr>
          <w:bCs/>
        </w:rPr>
        <w:t>A</w:t>
      </w:r>
      <w:r w:rsidRPr="008C4AC8">
        <w:rPr>
          <w:bCs/>
        </w:rPr>
        <w:t xml:space="preserve"> shortcoming of the model </w:t>
      </w:r>
      <w:r w:rsidR="007C38F4">
        <w:rPr>
          <w:bCs/>
        </w:rPr>
        <w:t>is</w:t>
      </w:r>
      <w:r w:rsidRPr="008C4AC8">
        <w:rPr>
          <w:bCs/>
        </w:rPr>
        <w:t xml:space="preserve"> that viscosity is sensitive to temperature. </w:t>
      </w:r>
      <w:r w:rsidR="00562595">
        <w:rPr>
          <w:bCs/>
        </w:rPr>
        <w:t>U</w:t>
      </w:r>
      <w:r w:rsidRPr="008C4AC8">
        <w:rPr>
          <w:bCs/>
        </w:rPr>
        <w:t xml:space="preserve">sing a constant </w:t>
      </w:r>
      <w:r w:rsidR="00534F33" w:rsidRPr="008C4AC8">
        <w:rPr>
          <w:bCs/>
        </w:rPr>
        <w:t xml:space="preserve">value for viscosity at 135 ° F </w:t>
      </w:r>
      <w:r w:rsidRPr="008C4AC8">
        <w:rPr>
          <w:bCs/>
        </w:rPr>
        <w:t>lead</w:t>
      </w:r>
      <w:r w:rsidR="001D7802">
        <w:rPr>
          <w:bCs/>
        </w:rPr>
        <w:t>s</w:t>
      </w:r>
      <w:r w:rsidRPr="008C4AC8">
        <w:rPr>
          <w:bCs/>
        </w:rPr>
        <w:t xml:space="preserve"> to an underes</w:t>
      </w:r>
      <w:r w:rsidR="00534F33" w:rsidRPr="008C4AC8">
        <w:rPr>
          <w:bCs/>
        </w:rPr>
        <w:t xml:space="preserve">timate asphalt dynamic moduli. </w:t>
      </w:r>
      <w:r w:rsidR="009C6A07">
        <w:rPr>
          <w:bCs/>
        </w:rPr>
        <w:t xml:space="preserve">Further, since </w:t>
      </w:r>
      <w:proofErr w:type="spellStart"/>
      <w:r w:rsidR="009C6A07">
        <w:rPr>
          <w:bCs/>
        </w:rPr>
        <w:t>Superpave</w:t>
      </w:r>
      <w:proofErr w:type="spellEnd"/>
      <w:r w:rsidR="009C6A07">
        <w:rPr>
          <w:bCs/>
        </w:rPr>
        <w:t xml:space="preserve"> </w:t>
      </w:r>
      <w:r w:rsidR="00534F33" w:rsidRPr="008C4AC8">
        <w:rPr>
          <w:bCs/>
        </w:rPr>
        <w:t xml:space="preserve">improved the performance of </w:t>
      </w:r>
      <w:r w:rsidRPr="008C4AC8">
        <w:rPr>
          <w:bCs/>
        </w:rPr>
        <w:t xml:space="preserve">asphalt </w:t>
      </w:r>
      <w:r w:rsidR="00534F33" w:rsidRPr="008C4AC8">
        <w:rPr>
          <w:bCs/>
        </w:rPr>
        <w:t xml:space="preserve">and </w:t>
      </w:r>
      <w:r w:rsidR="00317A85">
        <w:rPr>
          <w:bCs/>
        </w:rPr>
        <w:t>PG</w:t>
      </w:r>
      <w:r w:rsidRPr="008C4AC8">
        <w:rPr>
          <w:bCs/>
        </w:rPr>
        <w:t xml:space="preserve"> System for asphalt bi</w:t>
      </w:r>
      <w:r w:rsidR="00534F33" w:rsidRPr="008C4AC8">
        <w:rPr>
          <w:bCs/>
        </w:rPr>
        <w:t>nders</w:t>
      </w:r>
      <w:r w:rsidR="00562595">
        <w:rPr>
          <w:bCs/>
        </w:rPr>
        <w:t xml:space="preserve"> (2)</w:t>
      </w:r>
      <w:r w:rsidR="00534F33" w:rsidRPr="008C4AC8">
        <w:rPr>
          <w:bCs/>
        </w:rPr>
        <w:t xml:space="preserve">, the old asphalt dynamic </w:t>
      </w:r>
      <w:r w:rsidRPr="008C4AC8">
        <w:rPr>
          <w:bCs/>
        </w:rPr>
        <w:t>modulus predictive model</w:t>
      </w:r>
      <w:r w:rsidR="00534F33" w:rsidRPr="008C4AC8">
        <w:rPr>
          <w:bCs/>
        </w:rPr>
        <w:t xml:space="preserve"> existing in KENTRACK 3.0 </w:t>
      </w:r>
      <w:r w:rsidR="00562595">
        <w:rPr>
          <w:bCs/>
        </w:rPr>
        <w:t>(</w:t>
      </w:r>
      <w:r w:rsidR="004423D6">
        <w:rPr>
          <w:bCs/>
        </w:rPr>
        <w:t>1</w:t>
      </w:r>
      <w:r w:rsidR="00562595">
        <w:rPr>
          <w:bCs/>
        </w:rPr>
        <w:t>)</w:t>
      </w:r>
      <w:r w:rsidRPr="008C4AC8">
        <w:rPr>
          <w:bCs/>
        </w:rPr>
        <w:t xml:space="preserve"> </w:t>
      </w:r>
      <w:r w:rsidR="009C6A07">
        <w:rPr>
          <w:bCs/>
        </w:rPr>
        <w:t>is not</w:t>
      </w:r>
      <w:r w:rsidR="00534F33" w:rsidRPr="008C4AC8">
        <w:rPr>
          <w:bCs/>
        </w:rPr>
        <w:t xml:space="preserve"> sufficiently accurate to </w:t>
      </w:r>
      <w:r w:rsidRPr="008C4AC8">
        <w:rPr>
          <w:bCs/>
        </w:rPr>
        <w:t xml:space="preserve">predict dynamic modulus of </w:t>
      </w:r>
      <w:r w:rsidR="00534F33" w:rsidRPr="008C4AC8">
        <w:rPr>
          <w:bCs/>
        </w:rPr>
        <w:t xml:space="preserve">PG asphalt binders. Therefore, </w:t>
      </w:r>
      <w:r w:rsidRPr="008C4AC8">
        <w:rPr>
          <w:bCs/>
        </w:rPr>
        <w:t xml:space="preserve">updating the predictive model </w:t>
      </w:r>
      <w:r w:rsidRPr="008C4AC8">
        <w:rPr>
          <w:bCs/>
        </w:rPr>
        <w:lastRenderedPageBreak/>
        <w:t>wa</w:t>
      </w:r>
      <w:r w:rsidR="00534F33" w:rsidRPr="008C4AC8">
        <w:rPr>
          <w:bCs/>
        </w:rPr>
        <w:t xml:space="preserve">s desirable to include asphalt </w:t>
      </w:r>
      <w:r w:rsidRPr="008C4AC8">
        <w:rPr>
          <w:bCs/>
        </w:rPr>
        <w:t>dynamic modulus</w:t>
      </w:r>
      <w:r w:rsidR="001D7802">
        <w:rPr>
          <w:bCs/>
        </w:rPr>
        <w:t>, so that</w:t>
      </w:r>
      <w:r w:rsidR="00534F33" w:rsidRPr="008C4AC8">
        <w:rPr>
          <w:bCs/>
        </w:rPr>
        <w:t xml:space="preserve"> both the </w:t>
      </w:r>
      <w:r w:rsidR="001D7802">
        <w:rPr>
          <w:bCs/>
        </w:rPr>
        <w:t>Asphalt Cement</w:t>
      </w:r>
      <w:r w:rsidRPr="008C4AC8">
        <w:rPr>
          <w:bCs/>
        </w:rPr>
        <w:t xml:space="preserve"> system based as</w:t>
      </w:r>
      <w:r w:rsidR="00534F33" w:rsidRPr="008C4AC8">
        <w:rPr>
          <w:bCs/>
        </w:rPr>
        <w:t xml:space="preserve">phalt binders that were used </w:t>
      </w:r>
      <w:r w:rsidRPr="008C4AC8">
        <w:rPr>
          <w:bCs/>
        </w:rPr>
        <w:t xml:space="preserve">in old </w:t>
      </w:r>
      <w:proofErr w:type="spellStart"/>
      <w:r w:rsidRPr="008C4AC8">
        <w:rPr>
          <w:bCs/>
        </w:rPr>
        <w:t>trackbeds</w:t>
      </w:r>
      <w:proofErr w:type="spellEnd"/>
      <w:r w:rsidRPr="008C4AC8">
        <w:rPr>
          <w:bCs/>
        </w:rPr>
        <w:t>, and PG sy</w:t>
      </w:r>
      <w:r w:rsidR="00534F33" w:rsidRPr="008C4AC8">
        <w:rPr>
          <w:bCs/>
        </w:rPr>
        <w:t xml:space="preserve">stem based asphalt </w:t>
      </w:r>
      <w:r w:rsidRPr="008C4AC8">
        <w:rPr>
          <w:bCs/>
        </w:rPr>
        <w:t>binders that are used</w:t>
      </w:r>
      <w:r w:rsidR="0066485B">
        <w:rPr>
          <w:bCs/>
        </w:rPr>
        <w:t xml:space="preserve"> in newly constructed </w:t>
      </w:r>
      <w:proofErr w:type="spellStart"/>
      <w:r w:rsidR="0066485B">
        <w:rPr>
          <w:bCs/>
        </w:rPr>
        <w:t>trackbeds</w:t>
      </w:r>
      <w:proofErr w:type="spellEnd"/>
      <w:r w:rsidR="0066485B">
        <w:rPr>
          <w:bCs/>
        </w:rPr>
        <w:t xml:space="preserve"> can be evaluated.</w:t>
      </w:r>
    </w:p>
    <w:p w:rsidR="003C1164" w:rsidRPr="00255DC8" w:rsidRDefault="00C765A2" w:rsidP="00C765A2">
      <w:pPr>
        <w:pStyle w:val="Heading1"/>
        <w:spacing w:before="240"/>
        <w:jc w:val="both"/>
      </w:pPr>
      <w:r>
        <w:t>K</w:t>
      </w:r>
      <w:r w:rsidR="003C1164" w:rsidRPr="00255DC8">
        <w:t>ENTRACK Theory</w:t>
      </w:r>
    </w:p>
    <w:p w:rsidR="00C765A2" w:rsidRDefault="003C1164" w:rsidP="00C765A2">
      <w:pPr>
        <w:spacing w:after="120" w:line="240" w:lineRule="auto"/>
        <w:jc w:val="both"/>
      </w:pPr>
      <w:r w:rsidRPr="008C4AC8">
        <w:t xml:space="preserve">Three types of </w:t>
      </w:r>
      <w:proofErr w:type="spellStart"/>
      <w:r w:rsidRPr="008C4AC8">
        <w:t>trackbeds</w:t>
      </w:r>
      <w:proofErr w:type="spellEnd"/>
      <w:r w:rsidRPr="008C4AC8">
        <w:t xml:space="preserve">, as depicted in Figure 1, are included in KENTRACK – All-Granular </w:t>
      </w:r>
      <w:proofErr w:type="spellStart"/>
      <w:r w:rsidRPr="008C4AC8">
        <w:rPr>
          <w:bCs/>
        </w:rPr>
        <w:t>trackbed</w:t>
      </w:r>
      <w:proofErr w:type="spellEnd"/>
      <w:r w:rsidRPr="008C4AC8">
        <w:t>, Asp</w:t>
      </w:r>
      <w:r w:rsidR="0066485B">
        <w:t>h</w:t>
      </w:r>
      <w:r w:rsidRPr="008C4AC8">
        <w:t xml:space="preserve">alt Underlayment </w:t>
      </w:r>
      <w:proofErr w:type="spellStart"/>
      <w:r w:rsidRPr="008C4AC8">
        <w:t>trackbed</w:t>
      </w:r>
      <w:proofErr w:type="spellEnd"/>
      <w:r w:rsidRPr="008C4AC8">
        <w:t xml:space="preserve">, and Combination </w:t>
      </w:r>
      <w:proofErr w:type="spellStart"/>
      <w:r w:rsidRPr="008C4AC8">
        <w:t>trackbed</w:t>
      </w:r>
      <w:proofErr w:type="spellEnd"/>
      <w:r w:rsidRPr="008C4AC8">
        <w:t>.</w:t>
      </w:r>
    </w:p>
    <w:p w:rsidR="00C765A2" w:rsidRPr="00C765A2" w:rsidRDefault="00C765A2" w:rsidP="00797D14">
      <w:pPr>
        <w:spacing w:after="0" w:line="240" w:lineRule="auto"/>
        <w:jc w:val="center"/>
      </w:pPr>
      <w:r w:rsidRPr="00C765A2">
        <w:rPr>
          <w:noProof/>
          <w:lang w:eastAsia="zh-CN"/>
        </w:rPr>
        <w:drawing>
          <wp:inline distT="0" distB="0" distL="0" distR="0" wp14:anchorId="11046685" wp14:editId="70DDAC91">
            <wp:extent cx="3388097" cy="2282190"/>
            <wp:effectExtent l="0" t="0" r="317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98710" cy="2289339"/>
                    </a:xfrm>
                    <a:prstGeom prst="rect">
                      <a:avLst/>
                    </a:prstGeom>
                  </pic:spPr>
                </pic:pic>
              </a:graphicData>
            </a:graphic>
          </wp:inline>
        </w:drawing>
      </w:r>
    </w:p>
    <w:p w:rsidR="00C765A2" w:rsidRPr="00C765A2" w:rsidRDefault="00C765A2" w:rsidP="00C765A2">
      <w:pPr>
        <w:spacing w:line="240" w:lineRule="auto"/>
        <w:jc w:val="both"/>
      </w:pPr>
      <w:r w:rsidRPr="00C765A2">
        <w:rPr>
          <w:i/>
        </w:rPr>
        <w:t xml:space="preserve">Figure 1. Standard Default </w:t>
      </w:r>
      <w:proofErr w:type="spellStart"/>
      <w:r w:rsidRPr="00C765A2">
        <w:rPr>
          <w:i/>
        </w:rPr>
        <w:t>Trackbed</w:t>
      </w:r>
      <w:proofErr w:type="spellEnd"/>
      <w:r w:rsidRPr="00C765A2">
        <w:rPr>
          <w:i/>
        </w:rPr>
        <w:t xml:space="preserve"> Sections</w:t>
      </w:r>
    </w:p>
    <w:p w:rsidR="00C863CE" w:rsidRDefault="00797D14" w:rsidP="00C765A2">
      <w:pPr>
        <w:spacing w:after="120" w:line="240" w:lineRule="auto"/>
        <w:jc w:val="both"/>
        <w:rPr>
          <w:rFonts w:cs="Times New Roman"/>
        </w:rPr>
      </w:pPr>
      <w:r>
        <w:rPr>
          <w:bCs/>
        </w:rPr>
        <w:t>The</w:t>
      </w:r>
      <w:r w:rsidR="000807D3" w:rsidRPr="000807D3">
        <w:rPr>
          <w:bCs/>
        </w:rPr>
        <w:t xml:space="preserve"> program is based on the Asphalt Institute's DAMA program usin</w:t>
      </w:r>
      <w:r w:rsidR="000807D3">
        <w:rPr>
          <w:bCs/>
        </w:rPr>
        <w:t xml:space="preserve">g highway failure criteria and </w:t>
      </w:r>
      <w:r w:rsidR="000807D3" w:rsidRPr="000807D3">
        <w:rPr>
          <w:bCs/>
        </w:rPr>
        <w:t xml:space="preserve">layer elastic design. </w:t>
      </w:r>
      <w:proofErr w:type="spellStart"/>
      <w:r w:rsidR="004F638C">
        <w:rPr>
          <w:bCs/>
        </w:rPr>
        <w:t>S</w:t>
      </w:r>
      <w:r w:rsidR="00C863CE" w:rsidRPr="008C4AC8">
        <w:rPr>
          <w:bCs/>
        </w:rPr>
        <w:t>ubballast</w:t>
      </w:r>
      <w:proofErr w:type="spellEnd"/>
      <w:r w:rsidR="00C863CE" w:rsidRPr="008C4AC8">
        <w:t xml:space="preserve"> </w:t>
      </w:r>
      <w:r w:rsidR="00C863CE" w:rsidRPr="008C4AC8">
        <w:rPr>
          <w:bCs/>
        </w:rPr>
        <w:t>and</w:t>
      </w:r>
      <w:r w:rsidR="00C863CE" w:rsidRPr="008C4AC8">
        <w:t xml:space="preserve"> subgrade are considered as linear elastic. The bedrock is assumed incompressible. Ballast in a newly constructed </w:t>
      </w:r>
      <w:proofErr w:type="spellStart"/>
      <w:r w:rsidR="00C863CE" w:rsidRPr="008C4AC8">
        <w:t>trackbed</w:t>
      </w:r>
      <w:proofErr w:type="spellEnd"/>
      <w:r w:rsidR="00C863CE" w:rsidRPr="008C4AC8">
        <w:t xml:space="preserve"> behaves non-linearly</w:t>
      </w:r>
      <w:r w:rsidR="00C863CE" w:rsidRPr="008C4AC8">
        <w:rPr>
          <w:bCs/>
        </w:rPr>
        <w:t xml:space="preserve"> </w:t>
      </w:r>
      <w:r w:rsidR="00C863CE" w:rsidRPr="008C4AC8">
        <w:t xml:space="preserve">while in an aged </w:t>
      </w:r>
      <w:proofErr w:type="spellStart"/>
      <w:r w:rsidR="00C863CE" w:rsidRPr="008C4AC8">
        <w:t>trackbed</w:t>
      </w:r>
      <w:proofErr w:type="spellEnd"/>
      <w:r w:rsidR="00C863CE" w:rsidRPr="008C4AC8">
        <w:t xml:space="preserve"> it behaves linearly </w:t>
      </w:r>
      <w:r w:rsidR="00562595">
        <w:t>(3)</w:t>
      </w:r>
      <w:r w:rsidR="00C863CE" w:rsidRPr="008C4AC8">
        <w:t xml:space="preserve">. </w:t>
      </w:r>
      <w:r w:rsidR="009C6A07">
        <w:rPr>
          <w:rFonts w:cs="Times New Roman"/>
          <w:kern w:val="2"/>
          <w:lang w:eastAsia="zh-CN"/>
        </w:rPr>
        <w:t xml:space="preserve">Asphalt is considered to be </w:t>
      </w:r>
      <w:r w:rsidR="00C863CE" w:rsidRPr="008C4AC8">
        <w:rPr>
          <w:rFonts w:cs="Times New Roman"/>
          <w:kern w:val="2"/>
          <w:lang w:eastAsia="zh-CN"/>
        </w:rPr>
        <w:t xml:space="preserve">viscoelastic. The </w:t>
      </w:r>
      <w:proofErr w:type="spellStart"/>
      <w:r w:rsidR="00C863CE" w:rsidRPr="008C4AC8">
        <w:rPr>
          <w:rFonts w:cs="Times New Roman"/>
          <w:kern w:val="2"/>
          <w:lang w:eastAsia="zh-CN"/>
        </w:rPr>
        <w:t>Witczak</w:t>
      </w:r>
      <w:proofErr w:type="spellEnd"/>
      <w:r w:rsidR="00C863CE" w:rsidRPr="008C4AC8">
        <w:rPr>
          <w:rFonts w:cs="Times New Roman"/>
          <w:kern w:val="2"/>
          <w:lang w:eastAsia="zh-CN"/>
        </w:rPr>
        <w:t xml:space="preserve"> E* predictive model is incorporated into KENTRACK 4.0 to calculate asphalt dynamic modulus</w:t>
      </w:r>
      <w:r w:rsidR="00562595">
        <w:rPr>
          <w:rFonts w:cs="Times New Roman"/>
          <w:kern w:val="2"/>
          <w:lang w:eastAsia="zh-CN"/>
        </w:rPr>
        <w:t xml:space="preserve"> (</w:t>
      </w:r>
      <w:r w:rsidR="007D314E">
        <w:rPr>
          <w:rFonts w:cs="Times New Roman"/>
          <w:kern w:val="2"/>
          <w:lang w:eastAsia="zh-CN"/>
        </w:rPr>
        <w:t>2</w:t>
      </w:r>
      <w:r w:rsidR="00562595">
        <w:rPr>
          <w:rFonts w:cs="Times New Roman"/>
          <w:kern w:val="2"/>
          <w:lang w:eastAsia="zh-CN"/>
        </w:rPr>
        <w:t>)</w:t>
      </w:r>
      <w:r w:rsidR="00C863CE" w:rsidRPr="008C4AC8">
        <w:rPr>
          <w:rFonts w:cs="Times New Roman"/>
          <w:kern w:val="2"/>
          <w:lang w:eastAsia="zh-CN"/>
        </w:rPr>
        <w:t>.</w:t>
      </w:r>
      <w:r w:rsidR="001143C0">
        <w:rPr>
          <w:rFonts w:cs="Times New Roman"/>
        </w:rPr>
        <w:t xml:space="preserve"> </w:t>
      </w:r>
    </w:p>
    <w:p w:rsidR="00C765A2" w:rsidRDefault="00C765A2" w:rsidP="00C765A2">
      <w:pPr>
        <w:widowControl w:val="0"/>
        <w:spacing w:line="240" w:lineRule="auto"/>
        <w:jc w:val="both"/>
        <w:rPr>
          <w:rFonts w:cs="Times New Roman"/>
          <w:kern w:val="2"/>
          <w:lang w:eastAsia="zh-CN"/>
        </w:rPr>
      </w:pPr>
      <w:r>
        <w:rPr>
          <w:rFonts w:cs="Times New Roman"/>
          <w:kern w:val="2"/>
          <w:lang w:eastAsia="zh-CN"/>
        </w:rPr>
        <w:lastRenderedPageBreak/>
        <w:t>T</w:t>
      </w:r>
      <w:r w:rsidR="00C863CE" w:rsidRPr="008C4AC8">
        <w:rPr>
          <w:rFonts w:cs="Times New Roman"/>
          <w:kern w:val="2"/>
          <w:lang w:eastAsia="zh-CN"/>
        </w:rPr>
        <w:t>ensile strain calculations at the bottom of asphalt and compressive stress calc</w:t>
      </w:r>
      <w:r>
        <w:rPr>
          <w:rFonts w:cs="Times New Roman"/>
          <w:kern w:val="2"/>
          <w:lang w:eastAsia="zh-CN"/>
        </w:rPr>
        <w:t>ulations at the top of subgrade are performed as damage analysis in KENTRACK.</w:t>
      </w:r>
      <w:r w:rsidR="00C863CE" w:rsidRPr="008C4AC8">
        <w:rPr>
          <w:rFonts w:cs="Times New Roman"/>
          <w:kern w:val="2"/>
          <w:lang w:eastAsia="zh-CN"/>
        </w:rPr>
        <w:t xml:space="preserve"> Material properties may vary seasonally due to temperature changes which result in a different result of damage analysis in a different season. </w:t>
      </w:r>
    </w:p>
    <w:p w:rsidR="00C765A2" w:rsidRPr="00C765A2" w:rsidRDefault="00C863CE" w:rsidP="00C765A2">
      <w:pPr>
        <w:widowControl w:val="0"/>
        <w:spacing w:after="0" w:line="240" w:lineRule="auto"/>
        <w:jc w:val="both"/>
      </w:pPr>
      <w:r w:rsidRPr="008C4AC8">
        <w:rPr>
          <w:rFonts w:cs="Times New Roman"/>
          <w:kern w:val="2"/>
          <w:lang w:eastAsia="zh-CN"/>
        </w:rPr>
        <w:lastRenderedPageBreak/>
        <w:t xml:space="preserve">The passage of one car in a train is considered equivalent to one load repetition. The center portion of the car represents the “unloaded” phase. The predicted number of repetitions varies with the traffic that the </w:t>
      </w:r>
      <w:proofErr w:type="spellStart"/>
      <w:r w:rsidRPr="008C4AC8">
        <w:rPr>
          <w:rFonts w:cs="Times New Roman"/>
          <w:kern w:val="2"/>
          <w:lang w:eastAsia="zh-CN"/>
        </w:rPr>
        <w:t>trackbed</w:t>
      </w:r>
      <w:proofErr w:type="spellEnd"/>
      <w:r w:rsidRPr="008C4AC8">
        <w:rPr>
          <w:rFonts w:cs="Times New Roman"/>
          <w:kern w:val="2"/>
          <w:lang w:eastAsia="zh-CN"/>
        </w:rPr>
        <w:t xml:space="preserve"> is subjected</w:t>
      </w:r>
      <w:r w:rsidR="00C765A2">
        <w:t>.</w:t>
      </w:r>
    </w:p>
    <w:p w:rsidR="009C6A07" w:rsidRDefault="009C6A07" w:rsidP="00C765A2">
      <w:pPr>
        <w:pStyle w:val="Heading1"/>
        <w:spacing w:before="240"/>
        <w:jc w:val="both"/>
        <w:sectPr w:rsidR="009C6A07" w:rsidSect="00D00491">
          <w:headerReference w:type="default" r:id="rId11"/>
          <w:type w:val="continuous"/>
          <w:pgSz w:w="12240" w:h="15840" w:code="1"/>
          <w:pgMar w:top="720" w:right="720" w:bottom="1440" w:left="720" w:header="288" w:footer="144" w:gutter="0"/>
          <w:cols w:num="2" w:space="425"/>
          <w:docGrid w:type="linesAndChars" w:linePitch="312"/>
        </w:sectPr>
      </w:pPr>
    </w:p>
    <w:p w:rsidR="00C765A2" w:rsidRDefault="00C765A2" w:rsidP="00C765A2">
      <w:pPr>
        <w:pStyle w:val="Heading1"/>
        <w:spacing w:before="240"/>
        <w:jc w:val="both"/>
      </w:pPr>
      <w:r w:rsidRPr="00C765A2">
        <w:lastRenderedPageBreak/>
        <w:t>Case Study</w:t>
      </w:r>
    </w:p>
    <w:p w:rsidR="009C6A07" w:rsidRPr="008C4AC8" w:rsidRDefault="009C6A07" w:rsidP="009C6A07">
      <w:pPr>
        <w:spacing w:after="0" w:line="240" w:lineRule="auto"/>
        <w:jc w:val="center"/>
        <w:rPr>
          <w:lang w:eastAsia="zh-CN"/>
        </w:rPr>
      </w:pPr>
      <w:r w:rsidRPr="008C4AC8">
        <w:rPr>
          <w:noProof/>
          <w:lang w:eastAsia="zh-CN"/>
        </w:rPr>
        <w:drawing>
          <wp:inline distT="0" distB="0" distL="0" distR="0" wp14:anchorId="5513FFB8" wp14:editId="7B461693">
            <wp:extent cx="3076575" cy="1964055"/>
            <wp:effectExtent l="0" t="0" r="9525" b="171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lang w:eastAsia="zh-CN"/>
        </w:rPr>
        <w:t xml:space="preserve">            </w:t>
      </w:r>
      <w:r w:rsidRPr="008C4AC8">
        <w:rPr>
          <w:noProof/>
          <w:lang w:eastAsia="zh-CN"/>
        </w:rPr>
        <w:drawing>
          <wp:inline distT="0" distB="0" distL="0" distR="0" wp14:anchorId="4ADCF259" wp14:editId="194A1E5F">
            <wp:extent cx="3086100" cy="1969770"/>
            <wp:effectExtent l="0" t="0" r="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6A07" w:rsidRPr="00370B20" w:rsidRDefault="009C6A07" w:rsidP="009C6A07">
      <w:pPr>
        <w:spacing w:line="240" w:lineRule="auto"/>
        <w:jc w:val="both"/>
        <w:rPr>
          <w:i/>
        </w:rPr>
      </w:pPr>
      <w:r>
        <w:rPr>
          <w:i/>
        </w:rPr>
        <w:t xml:space="preserve">        </w:t>
      </w:r>
      <w:r w:rsidRPr="00370B20">
        <w:rPr>
          <w:i/>
        </w:rPr>
        <w:t>a. Subgrade Compressive Stress                                                  b. Subgrade Service Life</w:t>
      </w:r>
    </w:p>
    <w:p w:rsidR="009C6A07" w:rsidRPr="008C4AC8" w:rsidRDefault="009C6A07" w:rsidP="009C6A07">
      <w:pPr>
        <w:spacing w:after="0" w:line="240" w:lineRule="auto"/>
        <w:jc w:val="center"/>
        <w:rPr>
          <w:lang w:eastAsia="zh-CN"/>
        </w:rPr>
      </w:pPr>
      <w:r w:rsidRPr="008C4AC8">
        <w:rPr>
          <w:noProof/>
          <w:lang w:eastAsia="zh-CN"/>
        </w:rPr>
        <w:drawing>
          <wp:inline distT="0" distB="0" distL="0" distR="0" wp14:anchorId="4B7BD46A" wp14:editId="6890BF4C">
            <wp:extent cx="3057525" cy="1903095"/>
            <wp:effectExtent l="0" t="0" r="9525" b="19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lang w:eastAsia="zh-CN"/>
        </w:rPr>
        <w:t xml:space="preserve">            </w:t>
      </w:r>
      <w:r w:rsidRPr="008C4AC8">
        <w:rPr>
          <w:noProof/>
          <w:lang w:eastAsia="zh-CN"/>
        </w:rPr>
        <w:drawing>
          <wp:inline distT="0" distB="0" distL="0" distR="0" wp14:anchorId="1407A9D1" wp14:editId="050A7D4A">
            <wp:extent cx="3086100" cy="1891665"/>
            <wp:effectExtent l="0" t="0" r="0" b="133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C6A07" w:rsidRPr="00370B20" w:rsidRDefault="009C6A07" w:rsidP="009C6A07">
      <w:pPr>
        <w:spacing w:after="0" w:line="240" w:lineRule="auto"/>
        <w:jc w:val="both"/>
        <w:rPr>
          <w:i/>
        </w:rPr>
      </w:pPr>
      <w:r>
        <w:rPr>
          <w:i/>
        </w:rPr>
        <w:t xml:space="preserve">      </w:t>
      </w:r>
      <w:r w:rsidRPr="00370B20">
        <w:rPr>
          <w:i/>
        </w:rPr>
        <w:t>c. Asphalt Tensile Strain                                                                d. Asphalt Service Life</w:t>
      </w:r>
    </w:p>
    <w:p w:rsidR="009C6A07" w:rsidRPr="00370B20" w:rsidRDefault="009C6A07" w:rsidP="009C6A07">
      <w:pPr>
        <w:spacing w:line="240" w:lineRule="auto"/>
        <w:jc w:val="both"/>
        <w:rPr>
          <w:i/>
        </w:rPr>
      </w:pPr>
      <w:bookmarkStart w:id="1" w:name="_Toc367959459"/>
      <w:r>
        <w:rPr>
          <w:i/>
        </w:rPr>
        <w:t xml:space="preserve">     </w:t>
      </w:r>
      <w:r w:rsidRPr="00370B20">
        <w:rPr>
          <w:i/>
        </w:rPr>
        <w:t xml:space="preserve">Figure </w:t>
      </w:r>
      <w:r w:rsidR="00A736F1">
        <w:rPr>
          <w:i/>
        </w:rPr>
        <w:t>2</w:t>
      </w:r>
      <w:r>
        <w:rPr>
          <w:i/>
        </w:rPr>
        <w:t>.</w:t>
      </w:r>
      <w:r w:rsidRPr="00370B20">
        <w:rPr>
          <w:i/>
        </w:rPr>
        <w:t xml:space="preserve"> Effects </w:t>
      </w:r>
      <w:bookmarkEnd w:id="1"/>
      <w:r w:rsidRPr="00370B20">
        <w:rPr>
          <w:i/>
        </w:rPr>
        <w:t>of Varying Subgrade Modulus (Axle Load = 36 tons)</w:t>
      </w:r>
    </w:p>
    <w:p w:rsidR="009C6A07" w:rsidRDefault="009C6A07" w:rsidP="00C765A2">
      <w:pPr>
        <w:spacing w:line="240" w:lineRule="auto"/>
        <w:jc w:val="both"/>
        <w:rPr>
          <w:rFonts w:eastAsia="宋体" w:cs="Times New Roman"/>
        </w:rPr>
        <w:sectPr w:rsidR="009C6A07" w:rsidSect="00A30215">
          <w:type w:val="continuous"/>
          <w:pgSz w:w="12240" w:h="15840" w:code="1"/>
          <w:pgMar w:top="720" w:right="720" w:bottom="1440" w:left="720" w:header="851" w:footer="992" w:gutter="0"/>
          <w:cols w:space="425"/>
          <w:docGrid w:type="linesAndChars" w:linePitch="312"/>
        </w:sectPr>
      </w:pPr>
    </w:p>
    <w:p w:rsidR="007D314E" w:rsidRDefault="00C765A2" w:rsidP="00797D14">
      <w:pPr>
        <w:spacing w:line="240" w:lineRule="auto"/>
        <w:jc w:val="both"/>
        <w:rPr>
          <w:rFonts w:eastAsia="宋体" w:cs="Times New Roman"/>
        </w:rPr>
      </w:pPr>
      <w:r>
        <w:rPr>
          <w:rFonts w:eastAsia="宋体" w:cs="Times New Roman"/>
        </w:rPr>
        <w:lastRenderedPageBreak/>
        <w:t>F</w:t>
      </w:r>
      <w:r w:rsidR="00C863CE" w:rsidRPr="008C4AC8">
        <w:rPr>
          <w:rFonts w:eastAsia="宋体" w:cs="Times New Roman"/>
        </w:rPr>
        <w:t xml:space="preserve">igure </w:t>
      </w:r>
      <w:r w:rsidR="00A736F1">
        <w:rPr>
          <w:rFonts w:eastAsia="宋体" w:cs="Times New Roman"/>
        </w:rPr>
        <w:t>2(a)-(d) show</w:t>
      </w:r>
      <w:r w:rsidR="00C863CE" w:rsidRPr="008C4AC8">
        <w:rPr>
          <w:rFonts w:eastAsia="宋体" w:cs="Times New Roman"/>
        </w:rPr>
        <w:t xml:space="preserve"> the effect of varying subgrade modulus </w:t>
      </w:r>
      <w:r w:rsidR="00C863CE" w:rsidRPr="008C4AC8">
        <w:rPr>
          <w:rFonts w:eastAsia="宋体" w:cs="Times New Roman"/>
          <w:lang w:eastAsia="zh-CN"/>
        </w:rPr>
        <w:t>on</w:t>
      </w:r>
      <w:r w:rsidR="00C863CE" w:rsidRPr="008C4AC8">
        <w:rPr>
          <w:rFonts w:eastAsia="宋体" w:cs="Times New Roman"/>
        </w:rPr>
        <w:t xml:space="preserve"> </w:t>
      </w:r>
      <w:r w:rsidR="00A035BB">
        <w:rPr>
          <w:rFonts w:eastAsia="宋体" w:cs="Times New Roman"/>
          <w:lang w:eastAsia="zh-CN"/>
        </w:rPr>
        <w:t xml:space="preserve">different types of </w:t>
      </w:r>
      <w:proofErr w:type="spellStart"/>
      <w:r w:rsidR="00C863CE" w:rsidRPr="008C4AC8">
        <w:rPr>
          <w:rFonts w:eastAsia="宋体" w:cs="Times New Roman"/>
        </w:rPr>
        <w:t>trackbeds</w:t>
      </w:r>
      <w:proofErr w:type="spellEnd"/>
      <w:r w:rsidR="00896B9E">
        <w:rPr>
          <w:rFonts w:eastAsia="宋体" w:cs="Times New Roman"/>
        </w:rPr>
        <w:t xml:space="preserve">. More discussions can be found in the reference (3). </w:t>
      </w:r>
      <w:r w:rsidR="00C863CE" w:rsidRPr="008C4AC8">
        <w:rPr>
          <w:rFonts w:eastAsia="宋体" w:cs="Times New Roman"/>
        </w:rPr>
        <w:t xml:space="preserve"> </w:t>
      </w:r>
      <w:r w:rsidR="007D314E">
        <w:rPr>
          <w:rFonts w:eastAsia="宋体" w:cs="Times New Roman"/>
        </w:rPr>
        <w:t>The</w:t>
      </w:r>
      <w:r w:rsidR="007D314E" w:rsidRPr="008C4AC8">
        <w:rPr>
          <w:rFonts w:eastAsia="宋体" w:cs="Times New Roman"/>
        </w:rPr>
        <w:t xml:space="preserve"> increase in subgrade modulus leads to higher bearing capacity</w:t>
      </w:r>
      <w:r w:rsidR="007D314E">
        <w:rPr>
          <w:rFonts w:eastAsia="宋体" w:cs="Times New Roman"/>
        </w:rPr>
        <w:t>, the</w:t>
      </w:r>
      <w:r w:rsidR="007D314E" w:rsidRPr="008C4AC8">
        <w:rPr>
          <w:rFonts w:eastAsia="宋体" w:cs="Times New Roman"/>
        </w:rPr>
        <w:t xml:space="preserve"> increment of the bearing capacity of the subgrade is always greater than the increment of the subgrade compressive stress</w:t>
      </w:r>
      <w:r w:rsidR="007D314E">
        <w:rPr>
          <w:rFonts w:eastAsia="宋体" w:cs="Times New Roman"/>
        </w:rPr>
        <w:t xml:space="preserve">, therefore </w:t>
      </w:r>
      <w:r w:rsidR="00C863CE" w:rsidRPr="008C4AC8">
        <w:rPr>
          <w:rFonts w:eastAsia="宋体" w:cs="Times New Roman"/>
        </w:rPr>
        <w:t xml:space="preserve">as subgrade modulus increases, subgrade compressive stresses also slightly increase, </w:t>
      </w:r>
      <w:r w:rsidR="00C863CE" w:rsidRPr="008C4AC8">
        <w:rPr>
          <w:rFonts w:eastAsia="宋体" w:cs="Times New Roman"/>
          <w:lang w:eastAsia="zh-CN"/>
        </w:rPr>
        <w:t>together with</w:t>
      </w:r>
      <w:r w:rsidR="00C863CE" w:rsidRPr="008C4AC8">
        <w:rPr>
          <w:rFonts w:eastAsia="宋体" w:cs="Times New Roman"/>
        </w:rPr>
        <w:t xml:space="preserve"> a significant increase in </w:t>
      </w:r>
      <w:r w:rsidR="00A035BB">
        <w:rPr>
          <w:rFonts w:eastAsia="宋体" w:cs="Times New Roman"/>
        </w:rPr>
        <w:t>predicted subgrade service life</w:t>
      </w:r>
      <w:r w:rsidR="00C863CE" w:rsidRPr="008C4AC8">
        <w:rPr>
          <w:rFonts w:eastAsia="宋体" w:cs="Times New Roman"/>
        </w:rPr>
        <w:t>.</w:t>
      </w:r>
      <w:r w:rsidR="00A035BB" w:rsidRPr="00A035BB">
        <w:rPr>
          <w:rFonts w:eastAsia="宋体" w:cs="Times New Roman"/>
        </w:rPr>
        <w:t xml:space="preserve"> </w:t>
      </w:r>
    </w:p>
    <w:p w:rsidR="00FF3D60" w:rsidRDefault="009C6A07" w:rsidP="00C765A2">
      <w:pPr>
        <w:spacing w:line="240" w:lineRule="auto"/>
        <w:jc w:val="both"/>
        <w:rPr>
          <w:rFonts w:eastAsia="宋体" w:cs="Times New Roman"/>
        </w:rPr>
      </w:pPr>
      <w:r w:rsidRPr="008C4AC8">
        <w:rPr>
          <w:rFonts w:eastAsia="宋体" w:cs="Times New Roman"/>
        </w:rPr>
        <w:lastRenderedPageBreak/>
        <w:t xml:space="preserve">The tensile strain decreases as subgrade modulus increases. For low subgrade moduli, the subgrade cannot adequately support the loadings on the asphalt layer. In this case, with the same load on the asphalt layer, deformation of the asphalt increases on the soft subgrade, producing higher tensile strains on the bottom of the asphalt layer due to excessive bending strains. </w:t>
      </w:r>
    </w:p>
    <w:p w:rsidR="00C863CE" w:rsidRPr="008C4AC8" w:rsidRDefault="00C863CE" w:rsidP="00C765A2">
      <w:pPr>
        <w:spacing w:line="240" w:lineRule="auto"/>
        <w:jc w:val="both"/>
        <w:rPr>
          <w:rFonts w:cs="Times New Roman"/>
        </w:rPr>
      </w:pPr>
      <w:r w:rsidRPr="008C4AC8">
        <w:rPr>
          <w:rFonts w:eastAsia="宋体" w:cs="Times New Roman"/>
        </w:rPr>
        <w:t xml:space="preserve">Also, the predicted subgrade service life for an asphalt </w:t>
      </w:r>
      <w:proofErr w:type="spellStart"/>
      <w:r w:rsidRPr="008C4AC8">
        <w:rPr>
          <w:rFonts w:eastAsia="宋体" w:cs="Times New Roman"/>
        </w:rPr>
        <w:t>trackbed</w:t>
      </w:r>
      <w:proofErr w:type="spellEnd"/>
      <w:r w:rsidRPr="008C4AC8">
        <w:rPr>
          <w:rFonts w:eastAsia="宋体" w:cs="Times New Roman"/>
        </w:rPr>
        <w:t xml:space="preserve"> is typically increased by 100% over that of an </w:t>
      </w:r>
      <w:r w:rsidRPr="008C4AC8">
        <w:rPr>
          <w:rFonts w:eastAsia="宋体" w:cs="Times New Roman"/>
        </w:rPr>
        <w:lastRenderedPageBreak/>
        <w:t xml:space="preserve">all-granular </w:t>
      </w:r>
      <w:proofErr w:type="spellStart"/>
      <w:r w:rsidRPr="008C4AC8">
        <w:rPr>
          <w:rFonts w:eastAsia="宋体" w:cs="Times New Roman"/>
        </w:rPr>
        <w:t>trackbed</w:t>
      </w:r>
      <w:proofErr w:type="spellEnd"/>
      <w:r w:rsidRPr="008C4AC8">
        <w:rPr>
          <w:rFonts w:eastAsia="宋体" w:cs="Times New Roman"/>
        </w:rPr>
        <w:t xml:space="preserve">. A combination </w:t>
      </w:r>
      <w:proofErr w:type="spellStart"/>
      <w:r w:rsidRPr="008C4AC8">
        <w:rPr>
          <w:rFonts w:eastAsia="宋体" w:cs="Times New Roman"/>
        </w:rPr>
        <w:t>trackbed</w:t>
      </w:r>
      <w:proofErr w:type="spellEnd"/>
      <w:r w:rsidRPr="008C4AC8">
        <w:rPr>
          <w:rFonts w:eastAsia="宋体" w:cs="Times New Roman"/>
        </w:rPr>
        <w:t xml:space="preserve"> has longer predicted service lives of the subgrade and asphalt layers than asphalt underlayment </w:t>
      </w:r>
      <w:proofErr w:type="spellStart"/>
      <w:r w:rsidRPr="008C4AC8">
        <w:rPr>
          <w:rFonts w:eastAsia="宋体" w:cs="Times New Roman"/>
        </w:rPr>
        <w:t>trackbed</w:t>
      </w:r>
      <w:proofErr w:type="spellEnd"/>
      <w:r w:rsidRPr="008C4AC8">
        <w:rPr>
          <w:rFonts w:eastAsia="宋体" w:cs="Times New Roman"/>
        </w:rPr>
        <w:t xml:space="preserve">. </w:t>
      </w:r>
    </w:p>
    <w:p w:rsidR="00C863CE" w:rsidRPr="00255DC8" w:rsidRDefault="00255DC8" w:rsidP="00370B20">
      <w:pPr>
        <w:pStyle w:val="Heading1"/>
        <w:spacing w:before="240"/>
        <w:jc w:val="both"/>
      </w:pPr>
      <w:r w:rsidRPr="00255DC8">
        <w:t>Closure</w:t>
      </w:r>
    </w:p>
    <w:p w:rsidR="00C863CE" w:rsidRPr="008C4AC8" w:rsidRDefault="00C863CE" w:rsidP="008C4AC8">
      <w:pPr>
        <w:widowControl w:val="0"/>
        <w:spacing w:line="240" w:lineRule="auto"/>
        <w:jc w:val="both"/>
        <w:rPr>
          <w:rFonts w:cs="Times New Roman"/>
        </w:rPr>
      </w:pPr>
      <w:r w:rsidRPr="008C4AC8">
        <w:rPr>
          <w:rFonts w:cs="Times New Roman"/>
          <w:kern w:val="2"/>
          <w:lang w:eastAsia="zh-CN"/>
        </w:rPr>
        <w:t>The KENTRACK</w:t>
      </w:r>
      <w:r w:rsidRPr="008C4AC8">
        <w:rPr>
          <w:rFonts w:cs="Times New Roman"/>
        </w:rPr>
        <w:t xml:space="preserve"> program is a finite element based railroad </w:t>
      </w:r>
      <w:proofErr w:type="spellStart"/>
      <w:r w:rsidRPr="008C4AC8">
        <w:rPr>
          <w:rFonts w:cs="Times New Roman"/>
        </w:rPr>
        <w:t>trackbed</w:t>
      </w:r>
      <w:proofErr w:type="spellEnd"/>
      <w:r w:rsidRPr="008C4AC8">
        <w:rPr>
          <w:rFonts w:cs="Times New Roman"/>
        </w:rPr>
        <w:t xml:space="preserve"> design program. The </w:t>
      </w:r>
      <w:proofErr w:type="spellStart"/>
      <w:r w:rsidRPr="008C4AC8">
        <w:rPr>
          <w:rFonts w:cs="Times New Roman"/>
        </w:rPr>
        <w:t>Witczak</w:t>
      </w:r>
      <w:proofErr w:type="spellEnd"/>
      <w:r w:rsidRPr="008C4AC8">
        <w:rPr>
          <w:rFonts w:cs="Times New Roman"/>
        </w:rPr>
        <w:t xml:space="preserve"> E* predictive model for asphalt was applied in Version 4.0. Asphalt binders, classified in either AC system or PG system, can be used in KENTRACK 4.0. The program was expanded to include the SI international unit system. The program is applicable for determining relative effects of varying parameters and effects on design considerations.</w:t>
      </w:r>
    </w:p>
    <w:p w:rsidR="00317A85" w:rsidRDefault="00C863CE" w:rsidP="00370B20">
      <w:pPr>
        <w:widowControl w:val="0"/>
        <w:spacing w:line="240" w:lineRule="auto"/>
        <w:jc w:val="both"/>
        <w:rPr>
          <w:rFonts w:cs="Times New Roman"/>
        </w:rPr>
      </w:pPr>
      <w:r w:rsidRPr="008C4AC8">
        <w:rPr>
          <w:rFonts w:cs="Times New Roman"/>
        </w:rPr>
        <w:t xml:space="preserve">For a given type of </w:t>
      </w:r>
      <w:proofErr w:type="spellStart"/>
      <w:r w:rsidRPr="008C4AC8">
        <w:rPr>
          <w:rFonts w:cs="Times New Roman"/>
        </w:rPr>
        <w:t>trackbed</w:t>
      </w:r>
      <w:proofErr w:type="spellEnd"/>
      <w:r w:rsidRPr="008C4AC8">
        <w:rPr>
          <w:rFonts w:cs="Times New Roman"/>
        </w:rPr>
        <w:t xml:space="preserve">, the effect of subgrade stiffness is the most significant factor influencing the design. For a given loading configuration, stiffer subgrades produce slightly higher subgrade stresses, but the predicted service lives for the stiffer subgrades are increased </w:t>
      </w:r>
      <w:r w:rsidR="00317A85">
        <w:rPr>
          <w:rFonts w:cs="Times New Roman"/>
        </w:rPr>
        <w:t>significantly</w:t>
      </w:r>
      <w:r w:rsidRPr="008C4AC8">
        <w:rPr>
          <w:rFonts w:cs="Times New Roman"/>
        </w:rPr>
        <w:t xml:space="preserve">. Asphalt tensile stresses are lower for the stiffer subgrades and the predicted service lives are increased proportionally. </w:t>
      </w:r>
    </w:p>
    <w:p w:rsidR="00FF3D60" w:rsidRDefault="00C863CE" w:rsidP="00FF3D60">
      <w:pPr>
        <w:widowControl w:val="0"/>
        <w:spacing w:line="240" w:lineRule="auto"/>
        <w:jc w:val="both"/>
        <w:rPr>
          <w:rFonts w:cs="Times New Roman"/>
        </w:rPr>
      </w:pPr>
      <w:r w:rsidRPr="008C4AC8">
        <w:rPr>
          <w:rFonts w:cs="Times New Roman"/>
        </w:rPr>
        <w:t xml:space="preserve">An asphalt </w:t>
      </w:r>
      <w:proofErr w:type="spellStart"/>
      <w:r w:rsidRPr="008C4AC8">
        <w:rPr>
          <w:rFonts w:cs="Times New Roman"/>
        </w:rPr>
        <w:t>trackbed</w:t>
      </w:r>
      <w:proofErr w:type="spellEnd"/>
      <w:r w:rsidRPr="008C4AC8">
        <w:rPr>
          <w:rFonts w:cs="Times New Roman"/>
        </w:rPr>
        <w:t xml:space="preserve"> results in lower subgrade stress than a similar thickness of all-granular </w:t>
      </w:r>
      <w:proofErr w:type="spellStart"/>
      <w:r w:rsidRPr="008C4AC8">
        <w:rPr>
          <w:rFonts w:cs="Times New Roman"/>
        </w:rPr>
        <w:t>trackbed</w:t>
      </w:r>
      <w:proofErr w:type="spellEnd"/>
      <w:r w:rsidRPr="008C4AC8">
        <w:rPr>
          <w:rFonts w:cs="Times New Roman"/>
        </w:rPr>
        <w:t xml:space="preserve">. This is </w:t>
      </w:r>
      <w:proofErr w:type="spellStart"/>
      <w:r w:rsidR="009C6A07">
        <w:rPr>
          <w:rFonts w:cs="Times New Roman"/>
        </w:rPr>
        <w:t>is</w:t>
      </w:r>
      <w:proofErr w:type="spellEnd"/>
      <w:r w:rsidR="009C6A07">
        <w:rPr>
          <w:rFonts w:cs="Times New Roman"/>
        </w:rPr>
        <w:t xml:space="preserve"> </w:t>
      </w:r>
      <w:r w:rsidRPr="008C4AC8">
        <w:rPr>
          <w:rFonts w:cs="Times New Roman"/>
        </w:rPr>
        <w:t xml:space="preserve">more pronounced when </w:t>
      </w:r>
      <w:proofErr w:type="spellStart"/>
      <w:r w:rsidRPr="008C4AC8">
        <w:rPr>
          <w:rFonts w:cs="Times New Roman"/>
        </w:rPr>
        <w:t>subballast</w:t>
      </w:r>
      <w:proofErr w:type="spellEnd"/>
      <w:r w:rsidRPr="008C4AC8">
        <w:rPr>
          <w:rFonts w:cs="Times New Roman"/>
        </w:rPr>
        <w:t xml:space="preserve"> is added to the asphalt </w:t>
      </w:r>
      <w:proofErr w:type="spellStart"/>
      <w:r w:rsidRPr="008C4AC8">
        <w:rPr>
          <w:rFonts w:cs="Times New Roman"/>
        </w:rPr>
        <w:t>trackbed</w:t>
      </w:r>
      <w:proofErr w:type="spellEnd"/>
      <w:r w:rsidRPr="008C4AC8">
        <w:rPr>
          <w:rFonts w:cs="Times New Roman"/>
        </w:rPr>
        <w:t xml:space="preserve"> forming a combination </w:t>
      </w:r>
      <w:proofErr w:type="spellStart"/>
      <w:r w:rsidRPr="008C4AC8">
        <w:rPr>
          <w:rFonts w:cs="Times New Roman"/>
        </w:rPr>
        <w:t>trackbed</w:t>
      </w:r>
      <w:proofErr w:type="spellEnd"/>
      <w:r w:rsidRPr="008C4AC8">
        <w:rPr>
          <w:rFonts w:cs="Times New Roman"/>
        </w:rPr>
        <w:t xml:space="preserve">. For a given level of subgrade stiffness and axle loading, predicted subgrade design lives are higher for both the asphalt and combination </w:t>
      </w:r>
      <w:proofErr w:type="spellStart"/>
      <w:r w:rsidRPr="008C4AC8">
        <w:rPr>
          <w:rFonts w:cs="Times New Roman"/>
        </w:rPr>
        <w:t>trackbeds</w:t>
      </w:r>
      <w:proofErr w:type="spellEnd"/>
      <w:r w:rsidRPr="008C4AC8">
        <w:rPr>
          <w:rFonts w:cs="Times New Roman"/>
        </w:rPr>
        <w:t xml:space="preserve"> as compared to an all-granular design. </w:t>
      </w:r>
    </w:p>
    <w:p w:rsidR="00C863CE" w:rsidRPr="007A43F6" w:rsidRDefault="00370B20" w:rsidP="00FF3D60">
      <w:pPr>
        <w:pStyle w:val="Heading1"/>
        <w:spacing w:before="240"/>
        <w:jc w:val="both"/>
      </w:pPr>
      <w:r>
        <w:t>References</w:t>
      </w:r>
    </w:p>
    <w:p w:rsidR="004423D6" w:rsidRPr="008C4AC8" w:rsidRDefault="004423D6" w:rsidP="004423D6">
      <w:pPr>
        <w:pStyle w:val="Default"/>
        <w:numPr>
          <w:ilvl w:val="0"/>
          <w:numId w:val="2"/>
        </w:numPr>
        <w:jc w:val="both"/>
        <w:rPr>
          <w:rFonts w:asciiTheme="minorHAnsi" w:hAnsiTheme="minorHAnsi"/>
          <w:sz w:val="22"/>
          <w:szCs w:val="22"/>
        </w:rPr>
      </w:pPr>
      <w:bookmarkStart w:id="2" w:name="OLE_LINK3"/>
      <w:bookmarkStart w:id="3" w:name="OLE_LINK4"/>
      <w:r w:rsidRPr="008C4AC8">
        <w:rPr>
          <w:rFonts w:asciiTheme="minorHAnsi" w:hAnsiTheme="minorHAnsi"/>
          <w:sz w:val="22"/>
          <w:szCs w:val="22"/>
        </w:rPr>
        <w:t xml:space="preserve">Rose, J.; Agarwal, N. K.; Brown, J. D. and </w:t>
      </w:r>
      <w:proofErr w:type="spellStart"/>
      <w:r w:rsidRPr="008C4AC8">
        <w:rPr>
          <w:rFonts w:asciiTheme="minorHAnsi" w:hAnsiTheme="minorHAnsi"/>
          <w:sz w:val="22"/>
          <w:szCs w:val="22"/>
        </w:rPr>
        <w:t>Ilavala</w:t>
      </w:r>
      <w:proofErr w:type="spellEnd"/>
      <w:r w:rsidRPr="008C4AC8">
        <w:rPr>
          <w:rFonts w:asciiTheme="minorHAnsi" w:hAnsiTheme="minorHAnsi"/>
          <w:sz w:val="22"/>
          <w:szCs w:val="22"/>
        </w:rPr>
        <w:t xml:space="preserve">, N. (2010). </w:t>
      </w:r>
      <w:r w:rsidRPr="008C4AC8">
        <w:rPr>
          <w:rFonts w:asciiTheme="minorHAnsi" w:hAnsiTheme="minorHAnsi"/>
          <w:i/>
          <w:sz w:val="22"/>
          <w:szCs w:val="22"/>
        </w:rPr>
        <w:t xml:space="preserve">KENTRACK, A Performance-Based Layered Elastic Railway </w:t>
      </w:r>
      <w:proofErr w:type="spellStart"/>
      <w:r w:rsidRPr="008C4AC8">
        <w:rPr>
          <w:rFonts w:asciiTheme="minorHAnsi" w:hAnsiTheme="minorHAnsi"/>
          <w:i/>
          <w:sz w:val="22"/>
          <w:szCs w:val="22"/>
        </w:rPr>
        <w:t>Trackbed</w:t>
      </w:r>
      <w:proofErr w:type="spellEnd"/>
      <w:r w:rsidRPr="008C4AC8">
        <w:rPr>
          <w:rFonts w:asciiTheme="minorHAnsi" w:hAnsiTheme="minorHAnsi"/>
          <w:i/>
          <w:sz w:val="22"/>
          <w:szCs w:val="22"/>
        </w:rPr>
        <w:t xml:space="preserve"> Structural Design and Analysis Procedure – A Tutorial</w:t>
      </w:r>
      <w:r w:rsidRPr="008C4AC8">
        <w:rPr>
          <w:rFonts w:asciiTheme="minorHAnsi" w:hAnsiTheme="minorHAnsi"/>
          <w:sz w:val="22"/>
          <w:szCs w:val="22"/>
        </w:rPr>
        <w:t>, Proceedings of the 2010 Joint Rail Conference, 38 pages.</w:t>
      </w:r>
    </w:p>
    <w:p w:rsidR="00562595" w:rsidRPr="008C4AC8" w:rsidRDefault="00562595" w:rsidP="00797D14">
      <w:pPr>
        <w:pStyle w:val="Default"/>
        <w:numPr>
          <w:ilvl w:val="0"/>
          <w:numId w:val="2"/>
        </w:numPr>
        <w:jc w:val="both"/>
        <w:rPr>
          <w:rFonts w:asciiTheme="minorHAnsi" w:hAnsiTheme="minorHAnsi"/>
          <w:sz w:val="22"/>
          <w:szCs w:val="22"/>
          <w:shd w:val="clear" w:color="auto" w:fill="FFFFFF"/>
        </w:rPr>
      </w:pPr>
      <w:r w:rsidRPr="008C4AC8">
        <w:rPr>
          <w:rFonts w:asciiTheme="minorHAnsi" w:hAnsiTheme="minorHAnsi"/>
          <w:sz w:val="22"/>
          <w:szCs w:val="22"/>
          <w:shd w:val="clear" w:color="auto" w:fill="FFFFFF"/>
        </w:rPr>
        <w:t>Advanced Research Associates. (2004)</w:t>
      </w:r>
      <w:bookmarkEnd w:id="2"/>
      <w:bookmarkEnd w:id="3"/>
      <w:r w:rsidRPr="008C4AC8">
        <w:rPr>
          <w:rFonts w:asciiTheme="minorHAnsi" w:hAnsiTheme="minorHAnsi"/>
          <w:sz w:val="22"/>
          <w:szCs w:val="22"/>
          <w:shd w:val="clear" w:color="auto" w:fill="FFFFFF"/>
        </w:rPr>
        <w:t xml:space="preserve">. </w:t>
      </w:r>
      <w:bookmarkStart w:id="4" w:name="OLE_LINK20"/>
      <w:bookmarkStart w:id="5" w:name="OLE_LINK21"/>
      <w:r w:rsidRPr="008C4AC8">
        <w:rPr>
          <w:rStyle w:val="Emphasis"/>
          <w:rFonts w:asciiTheme="minorHAnsi" w:hAnsiTheme="minorHAnsi"/>
          <w:sz w:val="22"/>
          <w:szCs w:val="22"/>
          <w:shd w:val="clear" w:color="auto" w:fill="FFFFFF"/>
        </w:rPr>
        <w:t>2002 Design Guide: Design of New and Rehabilitated Pavement Structures</w:t>
      </w:r>
      <w:r w:rsidRPr="008C4AC8">
        <w:rPr>
          <w:rFonts w:asciiTheme="minorHAnsi" w:hAnsiTheme="minorHAnsi"/>
          <w:sz w:val="22"/>
          <w:szCs w:val="22"/>
          <w:shd w:val="clear" w:color="auto" w:fill="FFFFFF"/>
        </w:rPr>
        <w:t>, NCHRP 1-37A Project</w:t>
      </w:r>
      <w:bookmarkEnd w:id="4"/>
      <w:bookmarkEnd w:id="5"/>
      <w:r w:rsidRPr="008C4AC8">
        <w:rPr>
          <w:rFonts w:asciiTheme="minorHAnsi" w:hAnsiTheme="minorHAnsi"/>
          <w:sz w:val="22"/>
          <w:szCs w:val="22"/>
          <w:shd w:val="clear" w:color="auto" w:fill="FFFFFF"/>
        </w:rPr>
        <w:t>, National Cooperative Highway Research Program, National Research Council, Washington, DC.</w:t>
      </w:r>
    </w:p>
    <w:p w:rsidR="00797D14" w:rsidRDefault="00797D14" w:rsidP="00797D14">
      <w:pPr>
        <w:pStyle w:val="Default"/>
        <w:numPr>
          <w:ilvl w:val="0"/>
          <w:numId w:val="2"/>
        </w:numPr>
        <w:jc w:val="both"/>
        <w:rPr>
          <w:rFonts w:asciiTheme="minorHAnsi" w:hAnsiTheme="minorHAnsi"/>
          <w:sz w:val="22"/>
          <w:szCs w:val="22"/>
        </w:rPr>
      </w:pPr>
      <w:r>
        <w:rPr>
          <w:rFonts w:asciiTheme="minorHAnsi" w:hAnsiTheme="minorHAnsi"/>
          <w:sz w:val="22"/>
          <w:szCs w:val="22"/>
        </w:rPr>
        <w:t xml:space="preserve">Liu, S. (2013) </w:t>
      </w:r>
      <w:r w:rsidRPr="00797D14">
        <w:rPr>
          <w:rFonts w:asciiTheme="minorHAnsi" w:hAnsiTheme="minorHAnsi"/>
          <w:i/>
          <w:sz w:val="22"/>
          <w:szCs w:val="22"/>
        </w:rPr>
        <w:t xml:space="preserve">KENTRACK 4.0: A Railway </w:t>
      </w:r>
      <w:proofErr w:type="spellStart"/>
      <w:r w:rsidRPr="00797D14">
        <w:rPr>
          <w:rFonts w:asciiTheme="minorHAnsi" w:hAnsiTheme="minorHAnsi"/>
          <w:i/>
          <w:sz w:val="22"/>
          <w:szCs w:val="22"/>
        </w:rPr>
        <w:t>Trackbed</w:t>
      </w:r>
      <w:proofErr w:type="spellEnd"/>
      <w:r w:rsidRPr="00797D14">
        <w:rPr>
          <w:rFonts w:asciiTheme="minorHAnsi" w:hAnsiTheme="minorHAnsi"/>
          <w:i/>
          <w:sz w:val="22"/>
          <w:szCs w:val="22"/>
        </w:rPr>
        <w:t xml:space="preserve"> Structural Design Program</w:t>
      </w:r>
      <w:r>
        <w:rPr>
          <w:rFonts w:asciiTheme="minorHAnsi" w:hAnsiTheme="minorHAnsi"/>
          <w:sz w:val="22"/>
          <w:szCs w:val="22"/>
        </w:rPr>
        <w:t xml:space="preserve">. </w:t>
      </w:r>
      <w:r w:rsidRPr="00797D14">
        <w:rPr>
          <w:rFonts w:asciiTheme="minorHAnsi" w:hAnsiTheme="minorHAnsi"/>
          <w:sz w:val="22"/>
          <w:szCs w:val="22"/>
        </w:rPr>
        <w:t>Theses and Dissertations--Civil Engineering. Paper 16.</w:t>
      </w:r>
    </w:p>
    <w:p w:rsidR="00C050EA" w:rsidRPr="00797D14" w:rsidRDefault="00797D14" w:rsidP="00797D14">
      <w:pPr>
        <w:pStyle w:val="Default"/>
        <w:ind w:left="470"/>
        <w:jc w:val="both"/>
        <w:rPr>
          <w:rFonts w:asciiTheme="minorHAnsi" w:hAnsiTheme="minorHAnsi"/>
          <w:sz w:val="22"/>
          <w:szCs w:val="22"/>
        </w:rPr>
      </w:pPr>
      <w:r w:rsidRPr="00797D14">
        <w:rPr>
          <w:rFonts w:asciiTheme="minorHAnsi" w:hAnsiTheme="minorHAnsi"/>
          <w:sz w:val="22"/>
          <w:szCs w:val="22"/>
        </w:rPr>
        <w:t>http://uknowledge.uky.edu/ce_etds/16</w:t>
      </w:r>
    </w:p>
    <w:sectPr w:rsidR="00C050EA" w:rsidRPr="00797D14" w:rsidSect="00A035DF">
      <w:headerReference w:type="default" r:id="rId16"/>
      <w:type w:val="continuous"/>
      <w:pgSz w:w="12240" w:h="15840"/>
      <w:pgMar w:top="720" w:right="720" w:bottom="720" w:left="720" w:header="288" w:footer="144"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6F8" w:rsidRDefault="00CF26F8" w:rsidP="00C050EA">
      <w:pPr>
        <w:spacing w:after="0" w:line="240" w:lineRule="auto"/>
      </w:pPr>
      <w:r>
        <w:separator/>
      </w:r>
    </w:p>
  </w:endnote>
  <w:endnote w:type="continuationSeparator" w:id="0">
    <w:p w:rsidR="00CF26F8" w:rsidRDefault="00CF26F8" w:rsidP="00C0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n-c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3CE" w:rsidRDefault="00C863CE" w:rsidP="00C050EA">
    <w:pPr>
      <w:pStyle w:val="Footer"/>
      <w:ind w:left="-720"/>
    </w:pPr>
    <w:r>
      <w:rPr>
        <w:noProof/>
        <w:lang w:eastAsia="zh-CN"/>
      </w:rPr>
      <w:drawing>
        <wp:inline distT="0" distB="0" distL="0" distR="0" wp14:anchorId="7482E77F" wp14:editId="5CF7EF71">
          <wp:extent cx="7785100" cy="103632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036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6F8" w:rsidRDefault="00CF26F8" w:rsidP="00C050EA">
      <w:pPr>
        <w:spacing w:after="0" w:line="240" w:lineRule="auto"/>
      </w:pPr>
      <w:r>
        <w:separator/>
      </w:r>
    </w:p>
  </w:footnote>
  <w:footnote w:type="continuationSeparator" w:id="0">
    <w:p w:rsidR="00CF26F8" w:rsidRDefault="00CF26F8" w:rsidP="00C05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3CE" w:rsidRDefault="00C863CE" w:rsidP="00C050EA">
    <w:pPr>
      <w:pStyle w:val="Header"/>
      <w:ind w:left="-720"/>
    </w:pPr>
    <w:r>
      <w:rPr>
        <w:noProof/>
        <w:lang w:eastAsia="zh-CN"/>
      </w:rPr>
      <w:drawing>
        <wp:inline distT="0" distB="0" distL="0" distR="0" wp14:anchorId="20424033" wp14:editId="28A59CF3">
          <wp:extent cx="8041005"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1005" cy="82296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491" w:rsidRDefault="00D00491" w:rsidP="00D00491">
    <w:pPr>
      <w:pStyle w:val="Header"/>
      <w:tabs>
        <w:tab w:val="clear" w:pos="9360"/>
        <w:tab w:val="right" w:pos="10710"/>
      </w:tabs>
      <w:rPr>
        <w:rFonts w:ascii="Myriad Pro" w:hAnsi="Myriad Pro"/>
        <w:b/>
        <w:sz w:val="24"/>
      </w:rPr>
    </w:pPr>
    <w:r w:rsidRPr="00A035DF">
      <w:rPr>
        <w:rFonts w:ascii="Myriad Pro" w:hAnsi="Myriad Pro"/>
        <w:b/>
        <w:sz w:val="24"/>
      </w:rPr>
      <w:t>National</w:t>
    </w:r>
    <w:r>
      <w:rPr>
        <w:rFonts w:ascii="Myriad Pro" w:hAnsi="Myriad Pro"/>
        <w:b/>
        <w:sz w:val="24"/>
      </w:rPr>
      <w:t xml:space="preserve"> University Rail Center – </w:t>
    </w:r>
    <w:proofErr w:type="spellStart"/>
    <w:r>
      <w:rPr>
        <w:rFonts w:ascii="Myriad Pro" w:hAnsi="Myriad Pro"/>
        <w:b/>
        <w:sz w:val="24"/>
      </w:rPr>
      <w:t>NURail</w:t>
    </w:r>
    <w:proofErr w:type="spellEnd"/>
    <w:r>
      <w:rPr>
        <w:rFonts w:ascii="Myriad Pro" w:hAnsi="Myriad Pro"/>
        <w:b/>
        <w:sz w:val="24"/>
      </w:rPr>
      <w:tab/>
    </w:r>
    <w:r>
      <w:rPr>
        <w:rFonts w:ascii="Myriad Pro" w:hAnsi="Myriad Pro"/>
        <w:b/>
        <w:sz w:val="24"/>
      </w:rPr>
      <w:tab/>
      <w:t>Research Brief</w:t>
    </w:r>
  </w:p>
  <w:p w:rsidR="00D00491" w:rsidRDefault="00D00491" w:rsidP="00C050EA">
    <w:pPr>
      <w:pStyle w:val="Header"/>
      <w:ind w:left="-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3CE" w:rsidRDefault="00C863CE" w:rsidP="00A035DF">
    <w:pPr>
      <w:pStyle w:val="Header"/>
      <w:tabs>
        <w:tab w:val="clear" w:pos="9360"/>
        <w:tab w:val="right" w:pos="10710"/>
      </w:tabs>
      <w:ind w:left="-720" w:firstLine="720"/>
      <w:rPr>
        <w:rFonts w:ascii="Myriad Pro" w:hAnsi="Myriad Pro"/>
        <w:b/>
        <w:sz w:val="24"/>
      </w:rPr>
    </w:pPr>
    <w:r w:rsidRPr="00A035DF">
      <w:rPr>
        <w:rFonts w:ascii="Myriad Pro" w:hAnsi="Myriad Pro"/>
        <w:b/>
        <w:sz w:val="24"/>
      </w:rPr>
      <w:t>National</w:t>
    </w:r>
    <w:r>
      <w:rPr>
        <w:rFonts w:ascii="Myriad Pro" w:hAnsi="Myriad Pro"/>
        <w:b/>
        <w:sz w:val="24"/>
      </w:rPr>
      <w:t xml:space="preserve"> University Rail Center – NURail</w:t>
    </w:r>
    <w:r>
      <w:rPr>
        <w:rFonts w:ascii="Myriad Pro" w:hAnsi="Myriad Pro"/>
        <w:b/>
        <w:sz w:val="24"/>
      </w:rPr>
      <w:tab/>
    </w:r>
    <w:r>
      <w:rPr>
        <w:rFonts w:ascii="Myriad Pro" w:hAnsi="Myriad Pro"/>
        <w:b/>
        <w:sz w:val="24"/>
      </w:rPr>
      <w:tab/>
      <w:t>Research Brief</w:t>
    </w:r>
  </w:p>
  <w:p w:rsidR="00C863CE" w:rsidRPr="00A035DF" w:rsidRDefault="00C863CE" w:rsidP="00A035DF">
    <w:pPr>
      <w:pStyle w:val="Header"/>
      <w:tabs>
        <w:tab w:val="clear" w:pos="9360"/>
        <w:tab w:val="right" w:pos="10710"/>
      </w:tabs>
      <w:ind w:left="-720" w:firstLine="720"/>
      <w:rPr>
        <w:rFonts w:ascii="Myriad Pro" w:hAnsi="Myriad Pro"/>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C3352"/>
    <w:multiLevelType w:val="hybridMultilevel"/>
    <w:tmpl w:val="CAF47C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807B0"/>
    <w:multiLevelType w:val="hybridMultilevel"/>
    <w:tmpl w:val="23409B9C"/>
    <w:lvl w:ilvl="0" w:tplc="9D068712">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EA"/>
    <w:rsid w:val="00057109"/>
    <w:rsid w:val="000807D3"/>
    <w:rsid w:val="000B6F22"/>
    <w:rsid w:val="001143C0"/>
    <w:rsid w:val="00176C89"/>
    <w:rsid w:val="001B27B0"/>
    <w:rsid w:val="001D7802"/>
    <w:rsid w:val="00221CE9"/>
    <w:rsid w:val="002246A1"/>
    <w:rsid w:val="00255DC8"/>
    <w:rsid w:val="002B433E"/>
    <w:rsid w:val="002D4A1F"/>
    <w:rsid w:val="00317A85"/>
    <w:rsid w:val="0035153C"/>
    <w:rsid w:val="00370B20"/>
    <w:rsid w:val="00397661"/>
    <w:rsid w:val="003C1164"/>
    <w:rsid w:val="004100E0"/>
    <w:rsid w:val="00421533"/>
    <w:rsid w:val="004423D6"/>
    <w:rsid w:val="00446646"/>
    <w:rsid w:val="004C6F49"/>
    <w:rsid w:val="004D7FDB"/>
    <w:rsid w:val="004F638C"/>
    <w:rsid w:val="0050442F"/>
    <w:rsid w:val="005158D5"/>
    <w:rsid w:val="00534F33"/>
    <w:rsid w:val="00562595"/>
    <w:rsid w:val="00580756"/>
    <w:rsid w:val="005D6263"/>
    <w:rsid w:val="00600314"/>
    <w:rsid w:val="00604E4A"/>
    <w:rsid w:val="00616551"/>
    <w:rsid w:val="00625C2D"/>
    <w:rsid w:val="00640A50"/>
    <w:rsid w:val="0066485B"/>
    <w:rsid w:val="006C257C"/>
    <w:rsid w:val="006C6A84"/>
    <w:rsid w:val="007053F7"/>
    <w:rsid w:val="007840DE"/>
    <w:rsid w:val="00785588"/>
    <w:rsid w:val="00797D14"/>
    <w:rsid w:val="007A43F6"/>
    <w:rsid w:val="007C38F4"/>
    <w:rsid w:val="007D314E"/>
    <w:rsid w:val="00896B9E"/>
    <w:rsid w:val="008C4AC8"/>
    <w:rsid w:val="00934776"/>
    <w:rsid w:val="009461CA"/>
    <w:rsid w:val="009C6A07"/>
    <w:rsid w:val="00A035BB"/>
    <w:rsid w:val="00A035DF"/>
    <w:rsid w:val="00A23EA6"/>
    <w:rsid w:val="00A30215"/>
    <w:rsid w:val="00A472C3"/>
    <w:rsid w:val="00A72013"/>
    <w:rsid w:val="00A736F1"/>
    <w:rsid w:val="00B9403D"/>
    <w:rsid w:val="00BB2007"/>
    <w:rsid w:val="00BD05D1"/>
    <w:rsid w:val="00BF36FF"/>
    <w:rsid w:val="00C050EA"/>
    <w:rsid w:val="00C765A2"/>
    <w:rsid w:val="00C863CE"/>
    <w:rsid w:val="00CB213F"/>
    <w:rsid w:val="00CF26F8"/>
    <w:rsid w:val="00D00491"/>
    <w:rsid w:val="00D22A11"/>
    <w:rsid w:val="00E26009"/>
    <w:rsid w:val="00E52A37"/>
    <w:rsid w:val="00E64E18"/>
    <w:rsid w:val="00EC72C5"/>
    <w:rsid w:val="00EC781A"/>
    <w:rsid w:val="00F26388"/>
    <w:rsid w:val="00F40121"/>
    <w:rsid w:val="00F470AA"/>
    <w:rsid w:val="00F61CED"/>
    <w:rsid w:val="00FE2E80"/>
    <w:rsid w:val="00FF3D60"/>
    <w:rsid w:val="00FF5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C445E8-D8D4-49B9-BF63-394A9241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5D1"/>
  </w:style>
  <w:style w:type="paragraph" w:styleId="Heading1">
    <w:name w:val="heading 1"/>
    <w:basedOn w:val="NormalWeb"/>
    <w:next w:val="Normal"/>
    <w:link w:val="Heading1Char"/>
    <w:uiPriority w:val="9"/>
    <w:qFormat/>
    <w:rsid w:val="00604E4A"/>
    <w:pPr>
      <w:spacing w:before="0" w:beforeAutospacing="0" w:after="120" w:afterAutospacing="0"/>
      <w:textAlignment w:val="baseline"/>
      <w:outlineLvl w:val="0"/>
    </w:pPr>
    <w:rPr>
      <w:rFonts w:ascii="Myriad Pro" w:eastAsia="MS PGothic" w:hAnsi="Myriad Pro" w:cs="+mn-cs"/>
      <w:b/>
      <w:bCs/>
      <w:color w:val="F79646"/>
      <w:kern w:val="24"/>
    </w:rPr>
  </w:style>
  <w:style w:type="paragraph" w:styleId="Heading2">
    <w:name w:val="heading 2"/>
    <w:basedOn w:val="Normal"/>
    <w:next w:val="Normal"/>
    <w:link w:val="Heading2Char"/>
    <w:uiPriority w:val="9"/>
    <w:unhideWhenUsed/>
    <w:qFormat/>
    <w:rsid w:val="00C863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0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5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0EA"/>
  </w:style>
  <w:style w:type="paragraph" w:styleId="Footer">
    <w:name w:val="footer"/>
    <w:basedOn w:val="Normal"/>
    <w:link w:val="FooterChar"/>
    <w:uiPriority w:val="99"/>
    <w:unhideWhenUsed/>
    <w:rsid w:val="00C05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0EA"/>
  </w:style>
  <w:style w:type="paragraph" w:styleId="BalloonText">
    <w:name w:val="Balloon Text"/>
    <w:basedOn w:val="Normal"/>
    <w:link w:val="BalloonTextChar"/>
    <w:uiPriority w:val="99"/>
    <w:semiHidden/>
    <w:unhideWhenUsed/>
    <w:rsid w:val="00C05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EA"/>
    <w:rPr>
      <w:rFonts w:ascii="Tahoma" w:hAnsi="Tahoma" w:cs="Tahoma"/>
      <w:sz w:val="16"/>
      <w:szCs w:val="16"/>
    </w:rPr>
  </w:style>
  <w:style w:type="paragraph" w:styleId="Title">
    <w:name w:val="Title"/>
    <w:basedOn w:val="NormalWeb"/>
    <w:next w:val="Normal"/>
    <w:link w:val="TitleChar"/>
    <w:uiPriority w:val="10"/>
    <w:qFormat/>
    <w:rsid w:val="00604E4A"/>
    <w:pPr>
      <w:spacing w:before="0" w:beforeAutospacing="0" w:after="120" w:afterAutospacing="0"/>
      <w:textAlignment w:val="baseline"/>
    </w:pPr>
    <w:rPr>
      <w:rFonts w:ascii="Myriad Pro" w:eastAsia="MS PGothic" w:hAnsi="Myriad Pro" w:cs="+mn-cs"/>
      <w:b/>
      <w:bCs/>
      <w:color w:val="000000"/>
      <w:kern w:val="24"/>
      <w:sz w:val="36"/>
    </w:rPr>
  </w:style>
  <w:style w:type="character" w:customStyle="1" w:styleId="TitleChar">
    <w:name w:val="Title Char"/>
    <w:basedOn w:val="DefaultParagraphFont"/>
    <w:link w:val="Title"/>
    <w:uiPriority w:val="10"/>
    <w:rsid w:val="00604E4A"/>
    <w:rPr>
      <w:rFonts w:ascii="Myriad Pro" w:eastAsia="MS PGothic" w:hAnsi="Myriad Pro" w:cs="+mn-cs"/>
      <w:b/>
      <w:bCs/>
      <w:color w:val="000000"/>
      <w:kern w:val="24"/>
      <w:sz w:val="36"/>
      <w:szCs w:val="24"/>
    </w:rPr>
  </w:style>
  <w:style w:type="paragraph" w:styleId="Subtitle">
    <w:name w:val="Subtitle"/>
    <w:aliases w:val="Subtitle/Author"/>
    <w:basedOn w:val="NormalWeb"/>
    <w:next w:val="Normal"/>
    <w:link w:val="SubtitleChar"/>
    <w:uiPriority w:val="11"/>
    <w:qFormat/>
    <w:rsid w:val="00604E4A"/>
    <w:pPr>
      <w:spacing w:before="0" w:beforeAutospacing="0" w:after="0" w:afterAutospacing="0"/>
      <w:textAlignment w:val="baseline"/>
    </w:pPr>
    <w:rPr>
      <w:rFonts w:ascii="Myriad Pro" w:eastAsia="MS PGothic" w:hAnsi="Myriad Pro" w:cs="+mn-cs"/>
      <w:b/>
      <w:bCs/>
      <w:color w:val="000000"/>
      <w:kern w:val="24"/>
    </w:rPr>
  </w:style>
  <w:style w:type="character" w:customStyle="1" w:styleId="SubtitleChar">
    <w:name w:val="Subtitle Char"/>
    <w:aliases w:val="Subtitle/Author Char"/>
    <w:basedOn w:val="DefaultParagraphFont"/>
    <w:link w:val="Subtitle"/>
    <w:uiPriority w:val="11"/>
    <w:rsid w:val="00604E4A"/>
    <w:rPr>
      <w:rFonts w:ascii="Myriad Pro" w:eastAsia="MS PGothic" w:hAnsi="Myriad Pro" w:cs="+mn-cs"/>
      <w:b/>
      <w:bCs/>
      <w:color w:val="000000"/>
      <w:kern w:val="24"/>
      <w:sz w:val="24"/>
      <w:szCs w:val="24"/>
    </w:rPr>
  </w:style>
  <w:style w:type="character" w:styleId="Strong">
    <w:name w:val="Strong"/>
    <w:aliases w:val="Abstract"/>
    <w:uiPriority w:val="22"/>
    <w:qFormat/>
    <w:rsid w:val="00604E4A"/>
    <w:rPr>
      <w:b/>
    </w:rPr>
  </w:style>
  <w:style w:type="character" w:customStyle="1" w:styleId="Heading1Char">
    <w:name w:val="Heading 1 Char"/>
    <w:basedOn w:val="DefaultParagraphFont"/>
    <w:link w:val="Heading1"/>
    <w:uiPriority w:val="9"/>
    <w:rsid w:val="00604E4A"/>
    <w:rPr>
      <w:rFonts w:ascii="Myriad Pro" w:eastAsia="MS PGothic" w:hAnsi="Myriad Pro" w:cs="+mn-cs"/>
      <w:b/>
      <w:bCs/>
      <w:color w:val="F79646"/>
      <w:kern w:val="24"/>
      <w:sz w:val="24"/>
      <w:szCs w:val="24"/>
    </w:rPr>
  </w:style>
  <w:style w:type="character" w:styleId="Emphasis">
    <w:name w:val="Emphasis"/>
    <w:aliases w:val="FigureCaption"/>
    <w:uiPriority w:val="20"/>
    <w:qFormat/>
    <w:rsid w:val="00604E4A"/>
    <w:rPr>
      <w:i/>
    </w:rPr>
  </w:style>
  <w:style w:type="character" w:styleId="SubtleEmphasis">
    <w:name w:val="Subtle Emphasis"/>
    <w:aliases w:val="Acknowledge"/>
    <w:uiPriority w:val="19"/>
    <w:qFormat/>
    <w:rsid w:val="00604E4A"/>
    <w:rPr>
      <w:i/>
    </w:rPr>
  </w:style>
  <w:style w:type="character" w:customStyle="1" w:styleId="Heading2Char">
    <w:name w:val="Heading 2 Char"/>
    <w:basedOn w:val="DefaultParagraphFont"/>
    <w:link w:val="Heading2"/>
    <w:uiPriority w:val="9"/>
    <w:rsid w:val="00C863C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863CE"/>
    <w:pPr>
      <w:spacing w:after="0" w:line="240" w:lineRule="auto"/>
    </w:pPr>
    <w:rPr>
      <w:rFonts w:eastAsiaTheme="minorEastAsia"/>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863CE"/>
    <w:pPr>
      <w:spacing w:line="240" w:lineRule="auto"/>
      <w:ind w:firstLine="720"/>
      <w:jc w:val="center"/>
    </w:pPr>
    <w:rPr>
      <w:rFonts w:ascii="Times New Roman" w:eastAsia="Times New Roman" w:hAnsi="Times New Roman"/>
      <w:b/>
      <w:bCs/>
      <w:sz w:val="24"/>
      <w:szCs w:val="18"/>
    </w:rPr>
  </w:style>
  <w:style w:type="paragraph" w:customStyle="1" w:styleId="Default">
    <w:name w:val="Default"/>
    <w:rsid w:val="00C863CE"/>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character" w:customStyle="1" w:styleId="googqs-tidbit">
    <w:name w:val="goog_qs-tidbit"/>
    <w:basedOn w:val="DefaultParagraphFont"/>
    <w:rsid w:val="00797D14"/>
  </w:style>
  <w:style w:type="character" w:customStyle="1" w:styleId="apple-converted-space">
    <w:name w:val="apple-converted-space"/>
    <w:basedOn w:val="DefaultParagraphFont"/>
    <w:rsid w:val="00797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0723">
      <w:bodyDiv w:val="1"/>
      <w:marLeft w:val="0"/>
      <w:marRight w:val="0"/>
      <w:marTop w:val="0"/>
      <w:marBottom w:val="0"/>
      <w:divBdr>
        <w:top w:val="none" w:sz="0" w:space="0" w:color="auto"/>
        <w:left w:val="none" w:sz="0" w:space="0" w:color="auto"/>
        <w:bottom w:val="none" w:sz="0" w:space="0" w:color="auto"/>
        <w:right w:val="none" w:sz="0" w:space="0" w:color="auto"/>
      </w:divBdr>
    </w:div>
    <w:div w:id="563880494">
      <w:bodyDiv w:val="1"/>
      <w:marLeft w:val="0"/>
      <w:marRight w:val="0"/>
      <w:marTop w:val="0"/>
      <w:marBottom w:val="0"/>
      <w:divBdr>
        <w:top w:val="none" w:sz="0" w:space="0" w:color="auto"/>
        <w:left w:val="none" w:sz="0" w:space="0" w:color="auto"/>
        <w:bottom w:val="none" w:sz="0" w:space="0" w:color="auto"/>
        <w:right w:val="none" w:sz="0" w:space="0" w:color="auto"/>
      </w:divBdr>
    </w:div>
    <w:div w:id="11944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hushu\Dropbox\backup\JRC%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hushu\Dropbox\backup\JRC%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hushu\Dropbox\backup\JRC%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hushu\Dropbox\backup\JRC%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174563978319278"/>
          <c:y val="0.28431838639481938"/>
          <c:w val="0.73661929832735407"/>
          <c:h val="0.49436242875072228"/>
        </c:manualLayout>
      </c:layout>
      <c:barChart>
        <c:barDir val="col"/>
        <c:grouping val="clustered"/>
        <c:varyColors val="0"/>
        <c:ser>
          <c:idx val="0"/>
          <c:order val="0"/>
          <c:tx>
            <c:v>All-Granular Trackbed</c:v>
          </c:tx>
          <c:invertIfNegative val="0"/>
          <c:cat>
            <c:numRef>
              <c:f>Subgrade!$C$12:$C$15</c:f>
              <c:numCache>
                <c:formatCode>General</c:formatCode>
                <c:ptCount val="4"/>
                <c:pt idx="0">
                  <c:v>6000</c:v>
                </c:pt>
                <c:pt idx="1">
                  <c:v>12000</c:v>
                </c:pt>
                <c:pt idx="2">
                  <c:v>18000</c:v>
                </c:pt>
                <c:pt idx="3">
                  <c:v>24000</c:v>
                </c:pt>
              </c:numCache>
            </c:numRef>
          </c:cat>
          <c:val>
            <c:numRef>
              <c:f>Subgrade!$D$12:$D$15</c:f>
              <c:numCache>
                <c:formatCode>General</c:formatCode>
                <c:ptCount val="4"/>
                <c:pt idx="0">
                  <c:v>10.585428653445</c:v>
                </c:pt>
                <c:pt idx="1">
                  <c:v>13.5349161384292</c:v>
                </c:pt>
                <c:pt idx="2">
                  <c:v>15.6976491039284</c:v>
                </c:pt>
                <c:pt idx="3">
                  <c:v>16.616511208255002</c:v>
                </c:pt>
              </c:numCache>
            </c:numRef>
          </c:val>
        </c:ser>
        <c:ser>
          <c:idx val="1"/>
          <c:order val="1"/>
          <c:tx>
            <c:v>Asphalt Underlayment Trackbed</c:v>
          </c:tx>
          <c:invertIfNegative val="0"/>
          <c:cat>
            <c:numRef>
              <c:f>Subgrade!$C$12:$C$15</c:f>
              <c:numCache>
                <c:formatCode>General</c:formatCode>
                <c:ptCount val="4"/>
                <c:pt idx="0">
                  <c:v>6000</c:v>
                </c:pt>
                <c:pt idx="1">
                  <c:v>12000</c:v>
                </c:pt>
                <c:pt idx="2">
                  <c:v>18000</c:v>
                </c:pt>
                <c:pt idx="3">
                  <c:v>24000</c:v>
                </c:pt>
              </c:numCache>
            </c:numRef>
          </c:cat>
          <c:val>
            <c:numRef>
              <c:f>Subgrade!$F$12:$F$15</c:f>
              <c:numCache>
                <c:formatCode>General</c:formatCode>
                <c:ptCount val="4"/>
                <c:pt idx="0">
                  <c:v>8.3110674473681794</c:v>
                </c:pt>
                <c:pt idx="1">
                  <c:v>10.844324120579</c:v>
                </c:pt>
                <c:pt idx="2">
                  <c:v>12.6636844761177</c:v>
                </c:pt>
                <c:pt idx="3">
                  <c:v>13.4409404948778</c:v>
                </c:pt>
              </c:numCache>
            </c:numRef>
          </c:val>
        </c:ser>
        <c:ser>
          <c:idx val="2"/>
          <c:order val="2"/>
          <c:tx>
            <c:v>Combination Trackbed</c:v>
          </c:tx>
          <c:invertIfNegative val="0"/>
          <c:cat>
            <c:numRef>
              <c:f>Subgrade!$C$12:$C$15</c:f>
              <c:numCache>
                <c:formatCode>General</c:formatCode>
                <c:ptCount val="4"/>
                <c:pt idx="0">
                  <c:v>6000</c:v>
                </c:pt>
                <c:pt idx="1">
                  <c:v>12000</c:v>
                </c:pt>
                <c:pt idx="2">
                  <c:v>18000</c:v>
                </c:pt>
                <c:pt idx="3">
                  <c:v>24000</c:v>
                </c:pt>
              </c:numCache>
            </c:numRef>
          </c:cat>
          <c:val>
            <c:numRef>
              <c:f>Subgrade!$J$12:$J$15</c:f>
              <c:numCache>
                <c:formatCode>General</c:formatCode>
                <c:ptCount val="4"/>
                <c:pt idx="0">
                  <c:v>7.7632139856856002</c:v>
                </c:pt>
                <c:pt idx="1">
                  <c:v>9.8229858059474608</c:v>
                </c:pt>
                <c:pt idx="2">
                  <c:v>11.243463954927099</c:v>
                </c:pt>
                <c:pt idx="3">
                  <c:v>11.8282383490142</c:v>
                </c:pt>
              </c:numCache>
            </c:numRef>
          </c:val>
        </c:ser>
        <c:dLbls>
          <c:showLegendKey val="0"/>
          <c:showVal val="0"/>
          <c:showCatName val="0"/>
          <c:showSerName val="0"/>
          <c:showPercent val="0"/>
          <c:showBubbleSize val="0"/>
        </c:dLbls>
        <c:gapWidth val="150"/>
        <c:axId val="590758432"/>
        <c:axId val="590761176"/>
      </c:barChart>
      <c:catAx>
        <c:axId val="590758432"/>
        <c:scaling>
          <c:orientation val="minMax"/>
        </c:scaling>
        <c:delete val="0"/>
        <c:axPos val="b"/>
        <c:title>
          <c:tx>
            <c:rich>
              <a:bodyPr/>
              <a:lstStyle/>
              <a:p>
                <a:pPr>
                  <a:defRPr/>
                </a:pPr>
                <a:r>
                  <a:rPr lang="en-US" altLang="en-US"/>
                  <a:t>Subgrade Modulus (psi)</a:t>
                </a:r>
              </a:p>
            </c:rich>
          </c:tx>
          <c:overlay val="0"/>
        </c:title>
        <c:numFmt formatCode="General" sourceLinked="1"/>
        <c:majorTickMark val="out"/>
        <c:minorTickMark val="none"/>
        <c:tickLblPos val="nextTo"/>
        <c:crossAx val="590761176"/>
        <c:crosses val="autoZero"/>
        <c:auto val="1"/>
        <c:lblAlgn val="ctr"/>
        <c:lblOffset val="100"/>
        <c:noMultiLvlLbl val="0"/>
      </c:catAx>
      <c:valAx>
        <c:axId val="590761176"/>
        <c:scaling>
          <c:orientation val="minMax"/>
        </c:scaling>
        <c:delete val="0"/>
        <c:axPos val="l"/>
        <c:majorGridlines/>
        <c:title>
          <c:tx>
            <c:rich>
              <a:bodyPr rot="-5400000" vert="horz"/>
              <a:lstStyle/>
              <a:p>
                <a:pPr>
                  <a:defRPr/>
                </a:pPr>
                <a:r>
                  <a:rPr lang="en-US" altLang="en-US"/>
                  <a:t>Calculated Subgrade Compressive Stress (psi)</a:t>
                </a:r>
              </a:p>
            </c:rich>
          </c:tx>
          <c:layout>
            <c:manualLayout>
              <c:xMode val="edge"/>
              <c:yMode val="edge"/>
              <c:x val="2.4951122595743645E-2"/>
              <c:y val="0.18143534676982059"/>
            </c:manualLayout>
          </c:layout>
          <c:overlay val="0"/>
        </c:title>
        <c:numFmt formatCode="General" sourceLinked="1"/>
        <c:majorTickMark val="out"/>
        <c:minorTickMark val="none"/>
        <c:tickLblPos val="nextTo"/>
        <c:crossAx val="590758432"/>
        <c:crosses val="autoZero"/>
        <c:crossBetween val="between"/>
      </c:valAx>
      <c:spPr>
        <a:noFill/>
        <a:ln>
          <a:solidFill>
            <a:schemeClr val="tx1">
              <a:lumMod val="75000"/>
              <a:lumOff val="25000"/>
            </a:schemeClr>
          </a:solidFill>
        </a:ln>
      </c:spPr>
    </c:plotArea>
    <c:legend>
      <c:legendPos val="t"/>
      <c:layout>
        <c:manualLayout>
          <c:xMode val="edge"/>
          <c:yMode val="edge"/>
          <c:x val="0.234960714690303"/>
          <c:y val="1.8550721250581537E-2"/>
          <c:w val="0.765039285309697"/>
          <c:h val="0.2446317937451934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783286348465701"/>
          <c:y val="0.30409895571564199"/>
          <c:w val="0.71897897022131496"/>
          <c:h val="0.49812110043304542"/>
        </c:manualLayout>
      </c:layout>
      <c:barChart>
        <c:barDir val="col"/>
        <c:grouping val="clustered"/>
        <c:varyColors val="0"/>
        <c:ser>
          <c:idx val="0"/>
          <c:order val="0"/>
          <c:tx>
            <c:v>All-Granular Trackbed</c:v>
          </c:tx>
          <c:invertIfNegative val="0"/>
          <c:cat>
            <c:numRef>
              <c:f>Subgrade!$C$12:$C$15</c:f>
              <c:numCache>
                <c:formatCode>General</c:formatCode>
                <c:ptCount val="4"/>
                <c:pt idx="0">
                  <c:v>6000</c:v>
                </c:pt>
                <c:pt idx="1">
                  <c:v>12000</c:v>
                </c:pt>
                <c:pt idx="2">
                  <c:v>18000</c:v>
                </c:pt>
                <c:pt idx="3">
                  <c:v>24000</c:v>
                </c:pt>
              </c:numCache>
            </c:numRef>
          </c:cat>
          <c:val>
            <c:numRef>
              <c:f>Subgrade!$E$12:$E$15</c:f>
              <c:numCache>
                <c:formatCode>General</c:formatCode>
                <c:ptCount val="4"/>
                <c:pt idx="0">
                  <c:v>1.24169220895449</c:v>
                </c:pt>
                <c:pt idx="1">
                  <c:v>5.9561798794307199</c:v>
                </c:pt>
                <c:pt idx="2">
                  <c:v>14.6345371948678</c:v>
                </c:pt>
                <c:pt idx="3">
                  <c:v>20.555130132371598</c:v>
                </c:pt>
              </c:numCache>
            </c:numRef>
          </c:val>
        </c:ser>
        <c:ser>
          <c:idx val="1"/>
          <c:order val="1"/>
          <c:tx>
            <c:v>Asphalt Underlayment Trackbed</c:v>
          </c:tx>
          <c:invertIfNegative val="0"/>
          <c:cat>
            <c:numRef>
              <c:f>Subgrade!$C$12:$C$15</c:f>
              <c:numCache>
                <c:formatCode>General</c:formatCode>
                <c:ptCount val="4"/>
                <c:pt idx="0">
                  <c:v>6000</c:v>
                </c:pt>
                <c:pt idx="1">
                  <c:v>12000</c:v>
                </c:pt>
                <c:pt idx="2">
                  <c:v>18000</c:v>
                </c:pt>
                <c:pt idx="3">
                  <c:v>24000</c:v>
                </c:pt>
              </c:numCache>
            </c:numRef>
          </c:cat>
          <c:val>
            <c:numRef>
              <c:f>Subgrade!$G$12:$G$15</c:f>
              <c:numCache>
                <c:formatCode>General</c:formatCode>
                <c:ptCount val="4"/>
                <c:pt idx="0">
                  <c:v>4.5041589072261097</c:v>
                </c:pt>
                <c:pt idx="1">
                  <c:v>21.3843902496276</c:v>
                </c:pt>
                <c:pt idx="2">
                  <c:v>52.652659542481203</c:v>
                </c:pt>
                <c:pt idx="3">
                  <c:v>74.027651748465502</c:v>
                </c:pt>
              </c:numCache>
            </c:numRef>
          </c:val>
        </c:ser>
        <c:ser>
          <c:idx val="2"/>
          <c:order val="2"/>
          <c:tx>
            <c:v>Combination Trackbed</c:v>
          </c:tx>
          <c:invertIfNegative val="0"/>
          <c:cat>
            <c:numRef>
              <c:f>Subgrade!$C$12:$C$15</c:f>
              <c:numCache>
                <c:formatCode>General</c:formatCode>
                <c:ptCount val="4"/>
                <c:pt idx="0">
                  <c:v>6000</c:v>
                </c:pt>
                <c:pt idx="1">
                  <c:v>12000</c:v>
                </c:pt>
                <c:pt idx="2">
                  <c:v>18000</c:v>
                </c:pt>
                <c:pt idx="3">
                  <c:v>24000</c:v>
                </c:pt>
              </c:numCache>
            </c:numRef>
          </c:cat>
          <c:val>
            <c:numRef>
              <c:f>Subgrade!$K$12:$K$15</c:f>
              <c:numCache>
                <c:formatCode>General</c:formatCode>
                <c:ptCount val="4"/>
                <c:pt idx="0">
                  <c:v>5.3159347926124099</c:v>
                </c:pt>
                <c:pt idx="1">
                  <c:v>28.542508110088701</c:v>
                </c:pt>
                <c:pt idx="2">
                  <c:v>75.053591721595296</c:v>
                </c:pt>
                <c:pt idx="3">
                  <c:v>108.599194913364</c:v>
                </c:pt>
              </c:numCache>
            </c:numRef>
          </c:val>
        </c:ser>
        <c:dLbls>
          <c:showLegendKey val="0"/>
          <c:showVal val="0"/>
          <c:showCatName val="0"/>
          <c:showSerName val="0"/>
          <c:showPercent val="0"/>
          <c:showBubbleSize val="0"/>
        </c:dLbls>
        <c:gapWidth val="150"/>
        <c:axId val="590761568"/>
        <c:axId val="590760784"/>
      </c:barChart>
      <c:catAx>
        <c:axId val="590761568"/>
        <c:scaling>
          <c:orientation val="minMax"/>
        </c:scaling>
        <c:delete val="0"/>
        <c:axPos val="b"/>
        <c:title>
          <c:tx>
            <c:rich>
              <a:bodyPr/>
              <a:lstStyle/>
              <a:p>
                <a:pPr>
                  <a:defRPr/>
                </a:pPr>
                <a:r>
                  <a:rPr lang="en-US" altLang="en-US"/>
                  <a:t>Subgrade Modulus (psi)</a:t>
                </a:r>
              </a:p>
            </c:rich>
          </c:tx>
          <c:overlay val="0"/>
        </c:title>
        <c:numFmt formatCode="General" sourceLinked="1"/>
        <c:majorTickMark val="out"/>
        <c:minorTickMark val="none"/>
        <c:tickLblPos val="nextTo"/>
        <c:crossAx val="590760784"/>
        <c:crosses val="autoZero"/>
        <c:auto val="1"/>
        <c:lblAlgn val="ctr"/>
        <c:lblOffset val="100"/>
        <c:noMultiLvlLbl val="0"/>
      </c:catAx>
      <c:valAx>
        <c:axId val="590760784"/>
        <c:scaling>
          <c:orientation val="minMax"/>
        </c:scaling>
        <c:delete val="0"/>
        <c:axPos val="l"/>
        <c:majorGridlines/>
        <c:title>
          <c:tx>
            <c:rich>
              <a:bodyPr rot="-5400000" vert="horz"/>
              <a:lstStyle/>
              <a:p>
                <a:pPr>
                  <a:defRPr/>
                </a:pPr>
                <a:r>
                  <a:rPr lang="en-US" altLang="en-US"/>
                  <a:t>Predicted Subgrade Service</a:t>
                </a:r>
                <a:r>
                  <a:rPr lang="en-US" altLang="en-US" baseline="0"/>
                  <a:t> Life (yrs</a:t>
                </a:r>
                <a:r>
                  <a:rPr lang="en-US" altLang="en-US"/>
                  <a:t>)</a:t>
                </a:r>
              </a:p>
            </c:rich>
          </c:tx>
          <c:layout>
            <c:manualLayout>
              <c:xMode val="edge"/>
              <c:yMode val="edge"/>
              <c:x val="2.5615825799552839E-2"/>
              <c:y val="0.16867654599267934"/>
            </c:manualLayout>
          </c:layout>
          <c:overlay val="0"/>
        </c:title>
        <c:numFmt formatCode="General" sourceLinked="1"/>
        <c:majorTickMark val="out"/>
        <c:minorTickMark val="none"/>
        <c:tickLblPos val="nextTo"/>
        <c:crossAx val="590761568"/>
        <c:crosses val="autoZero"/>
        <c:crossBetween val="between"/>
      </c:valAx>
      <c:spPr>
        <a:noFill/>
        <a:ln>
          <a:solidFill>
            <a:schemeClr val="tx1">
              <a:lumMod val="75000"/>
              <a:lumOff val="25000"/>
            </a:schemeClr>
          </a:solidFill>
        </a:ln>
      </c:spPr>
    </c:plotArea>
    <c:legend>
      <c:legendPos val="t"/>
      <c:layout>
        <c:manualLayout>
          <c:xMode val="edge"/>
          <c:yMode val="edge"/>
          <c:x val="0.234960714690303"/>
          <c:y val="1.8550721250581537E-2"/>
          <c:w val="0.765039285309697"/>
          <c:h val="0.2446317937451934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591613548306464"/>
          <c:y val="0.22572545244071562"/>
          <c:w val="0.63043307086614175"/>
          <c:h val="0.50494882462836244"/>
        </c:manualLayout>
      </c:layout>
      <c:barChart>
        <c:barDir val="col"/>
        <c:grouping val="clustered"/>
        <c:varyColors val="0"/>
        <c:ser>
          <c:idx val="1"/>
          <c:order val="0"/>
          <c:tx>
            <c:v>Asphalt Underlayment Trackbed</c:v>
          </c:tx>
          <c:invertIfNegative val="0"/>
          <c:cat>
            <c:numRef>
              <c:f>Subgrade!$C$12:$C$15</c:f>
              <c:numCache>
                <c:formatCode>General</c:formatCode>
                <c:ptCount val="4"/>
                <c:pt idx="0">
                  <c:v>6000</c:v>
                </c:pt>
                <c:pt idx="1">
                  <c:v>12000</c:v>
                </c:pt>
                <c:pt idx="2">
                  <c:v>18000</c:v>
                </c:pt>
                <c:pt idx="3">
                  <c:v>24000</c:v>
                </c:pt>
              </c:numCache>
            </c:numRef>
          </c:cat>
          <c:val>
            <c:numRef>
              <c:f>Subgrade!$H$12:$H$15</c:f>
              <c:numCache>
                <c:formatCode>General</c:formatCode>
                <c:ptCount val="4"/>
                <c:pt idx="0">
                  <c:v>1.9067827725913899E-4</c:v>
                </c:pt>
                <c:pt idx="1">
                  <c:v>1.4750909838129799E-4</c:v>
                </c:pt>
                <c:pt idx="2">
                  <c:v>1.26944341872608E-4</c:v>
                </c:pt>
                <c:pt idx="3">
                  <c:v>1.1981510882168301E-4</c:v>
                </c:pt>
              </c:numCache>
            </c:numRef>
          </c:val>
        </c:ser>
        <c:ser>
          <c:idx val="2"/>
          <c:order val="1"/>
          <c:tx>
            <c:v>Combination Trackbed</c:v>
          </c:tx>
          <c:invertIfNegative val="0"/>
          <c:cat>
            <c:numRef>
              <c:f>Subgrade!$C$12:$C$15</c:f>
              <c:numCache>
                <c:formatCode>General</c:formatCode>
                <c:ptCount val="4"/>
                <c:pt idx="0">
                  <c:v>6000</c:v>
                </c:pt>
                <c:pt idx="1">
                  <c:v>12000</c:v>
                </c:pt>
                <c:pt idx="2">
                  <c:v>18000</c:v>
                </c:pt>
                <c:pt idx="3">
                  <c:v>24000</c:v>
                </c:pt>
              </c:numCache>
            </c:numRef>
          </c:cat>
          <c:val>
            <c:numRef>
              <c:f>Subgrade!$L$12:$L$15</c:f>
              <c:numCache>
                <c:formatCode>General</c:formatCode>
                <c:ptCount val="4"/>
                <c:pt idx="0">
                  <c:v>1.72498010779886E-4</c:v>
                </c:pt>
                <c:pt idx="1">
                  <c:v>1.2892135276710399E-4</c:v>
                </c:pt>
                <c:pt idx="2">
                  <c:v>1.10052095693996E-4</c:v>
                </c:pt>
                <c:pt idx="3">
                  <c:v>1.0373542060470599E-4</c:v>
                </c:pt>
              </c:numCache>
            </c:numRef>
          </c:val>
        </c:ser>
        <c:dLbls>
          <c:showLegendKey val="0"/>
          <c:showVal val="0"/>
          <c:showCatName val="0"/>
          <c:showSerName val="0"/>
          <c:showPercent val="0"/>
          <c:showBubbleSize val="0"/>
        </c:dLbls>
        <c:gapWidth val="150"/>
        <c:axId val="590758040"/>
        <c:axId val="590759608"/>
      </c:barChart>
      <c:catAx>
        <c:axId val="590758040"/>
        <c:scaling>
          <c:orientation val="minMax"/>
        </c:scaling>
        <c:delete val="0"/>
        <c:axPos val="b"/>
        <c:title>
          <c:tx>
            <c:rich>
              <a:bodyPr/>
              <a:lstStyle/>
              <a:p>
                <a:pPr>
                  <a:defRPr/>
                </a:pPr>
                <a:r>
                  <a:rPr lang="en-US" altLang="en-US"/>
                  <a:t>Subgrade Modulus (psi)</a:t>
                </a:r>
              </a:p>
            </c:rich>
          </c:tx>
          <c:overlay val="0"/>
        </c:title>
        <c:numFmt formatCode="General" sourceLinked="1"/>
        <c:majorTickMark val="out"/>
        <c:minorTickMark val="none"/>
        <c:tickLblPos val="nextTo"/>
        <c:crossAx val="590759608"/>
        <c:crosses val="autoZero"/>
        <c:auto val="1"/>
        <c:lblAlgn val="ctr"/>
        <c:lblOffset val="100"/>
        <c:noMultiLvlLbl val="0"/>
      </c:catAx>
      <c:valAx>
        <c:axId val="590759608"/>
        <c:scaling>
          <c:orientation val="minMax"/>
        </c:scaling>
        <c:delete val="0"/>
        <c:axPos val="l"/>
        <c:majorGridlines/>
        <c:title>
          <c:tx>
            <c:rich>
              <a:bodyPr rot="-5400000" vert="horz"/>
              <a:lstStyle/>
              <a:p>
                <a:pPr>
                  <a:defRPr/>
                </a:pPr>
                <a:r>
                  <a:rPr lang="en-US" altLang="en-US"/>
                  <a:t>Calculated Asphalt Tensile Strain</a:t>
                </a:r>
              </a:p>
            </c:rich>
          </c:tx>
          <c:layout>
            <c:manualLayout>
              <c:xMode val="edge"/>
              <c:yMode val="edge"/>
              <c:x val="3.335246645571173E-2"/>
              <c:y val="8.2536079386473088E-2"/>
            </c:manualLayout>
          </c:layout>
          <c:overlay val="0"/>
        </c:title>
        <c:numFmt formatCode="General" sourceLinked="1"/>
        <c:majorTickMark val="out"/>
        <c:minorTickMark val="none"/>
        <c:tickLblPos val="nextTo"/>
        <c:crossAx val="590758040"/>
        <c:crosses val="autoZero"/>
        <c:crossBetween val="between"/>
      </c:valAx>
      <c:spPr>
        <a:noFill/>
        <a:ln>
          <a:solidFill>
            <a:schemeClr val="tx1">
              <a:lumMod val="75000"/>
              <a:lumOff val="25000"/>
            </a:schemeClr>
          </a:solidFill>
        </a:ln>
      </c:spPr>
    </c:plotArea>
    <c:legend>
      <c:legendPos val="t"/>
      <c:layout>
        <c:manualLayout>
          <c:xMode val="edge"/>
          <c:yMode val="edge"/>
          <c:x val="0.234960714690303"/>
          <c:y val="1.8550721250581537E-2"/>
          <c:w val="0.765039285309697"/>
          <c:h val="0.16592811315252259"/>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413920482161952"/>
          <c:y val="0.21990303613794998"/>
          <c:w val="0.71059330546644628"/>
          <c:h val="0.51077124093112813"/>
        </c:manualLayout>
      </c:layout>
      <c:barChart>
        <c:barDir val="col"/>
        <c:grouping val="clustered"/>
        <c:varyColors val="0"/>
        <c:ser>
          <c:idx val="1"/>
          <c:order val="0"/>
          <c:tx>
            <c:v>Asphalt Underlayment Trackbed</c:v>
          </c:tx>
          <c:invertIfNegative val="0"/>
          <c:cat>
            <c:numRef>
              <c:f>Subgrade!$C$12:$C$15</c:f>
              <c:numCache>
                <c:formatCode>General</c:formatCode>
                <c:ptCount val="4"/>
                <c:pt idx="0">
                  <c:v>6000</c:v>
                </c:pt>
                <c:pt idx="1">
                  <c:v>12000</c:v>
                </c:pt>
                <c:pt idx="2">
                  <c:v>18000</c:v>
                </c:pt>
                <c:pt idx="3">
                  <c:v>24000</c:v>
                </c:pt>
              </c:numCache>
            </c:numRef>
          </c:cat>
          <c:val>
            <c:numRef>
              <c:f>Subgrade!$I$12:$I$15</c:f>
              <c:numCache>
                <c:formatCode>General</c:formatCode>
                <c:ptCount val="4"/>
                <c:pt idx="0">
                  <c:v>10.7854811053906</c:v>
                </c:pt>
                <c:pt idx="1">
                  <c:v>25.019587240998298</c:v>
                </c:pt>
                <c:pt idx="2">
                  <c:v>41.0026373779503</c:v>
                </c:pt>
                <c:pt idx="3">
                  <c:v>49.503864925147298</c:v>
                </c:pt>
              </c:numCache>
            </c:numRef>
          </c:val>
        </c:ser>
        <c:ser>
          <c:idx val="2"/>
          <c:order val="1"/>
          <c:tx>
            <c:v>Combination Trackbed</c:v>
          </c:tx>
          <c:invertIfNegative val="0"/>
          <c:cat>
            <c:numRef>
              <c:f>Subgrade!$C$12:$C$15</c:f>
              <c:numCache>
                <c:formatCode>General</c:formatCode>
                <c:ptCount val="4"/>
                <c:pt idx="0">
                  <c:v>6000</c:v>
                </c:pt>
                <c:pt idx="1">
                  <c:v>12000</c:v>
                </c:pt>
                <c:pt idx="2">
                  <c:v>18000</c:v>
                </c:pt>
                <c:pt idx="3">
                  <c:v>24000</c:v>
                </c:pt>
              </c:numCache>
            </c:numRef>
          </c:cat>
          <c:val>
            <c:numRef>
              <c:f>Subgrade!$M$12:$M$15</c:f>
              <c:numCache>
                <c:formatCode>General</c:formatCode>
                <c:ptCount val="4"/>
                <c:pt idx="0">
                  <c:v>13.672924635880999</c:v>
                </c:pt>
                <c:pt idx="1">
                  <c:v>34.013337606272799</c:v>
                </c:pt>
                <c:pt idx="2">
                  <c:v>56.8763427686348</c:v>
                </c:pt>
                <c:pt idx="3">
                  <c:v>68.848633948743</c:v>
                </c:pt>
              </c:numCache>
            </c:numRef>
          </c:val>
        </c:ser>
        <c:dLbls>
          <c:showLegendKey val="0"/>
          <c:showVal val="0"/>
          <c:showCatName val="0"/>
          <c:showSerName val="0"/>
          <c:showPercent val="0"/>
          <c:showBubbleSize val="0"/>
        </c:dLbls>
        <c:gapWidth val="150"/>
        <c:axId val="395421352"/>
        <c:axId val="395421744"/>
      </c:barChart>
      <c:catAx>
        <c:axId val="395421352"/>
        <c:scaling>
          <c:orientation val="minMax"/>
        </c:scaling>
        <c:delete val="0"/>
        <c:axPos val="b"/>
        <c:title>
          <c:tx>
            <c:rich>
              <a:bodyPr/>
              <a:lstStyle/>
              <a:p>
                <a:pPr>
                  <a:defRPr/>
                </a:pPr>
                <a:r>
                  <a:rPr lang="en-US" altLang="en-US"/>
                  <a:t>Subgrade Modulus (psi)</a:t>
                </a:r>
              </a:p>
            </c:rich>
          </c:tx>
          <c:overlay val="0"/>
        </c:title>
        <c:numFmt formatCode="General" sourceLinked="1"/>
        <c:majorTickMark val="out"/>
        <c:minorTickMark val="none"/>
        <c:tickLblPos val="nextTo"/>
        <c:crossAx val="395421744"/>
        <c:crosses val="autoZero"/>
        <c:auto val="1"/>
        <c:lblAlgn val="ctr"/>
        <c:lblOffset val="100"/>
        <c:noMultiLvlLbl val="0"/>
      </c:catAx>
      <c:valAx>
        <c:axId val="395421744"/>
        <c:scaling>
          <c:orientation val="minMax"/>
        </c:scaling>
        <c:delete val="0"/>
        <c:axPos val="l"/>
        <c:majorGridlines/>
        <c:title>
          <c:tx>
            <c:rich>
              <a:bodyPr rot="-5400000" vert="horz"/>
              <a:lstStyle/>
              <a:p>
                <a:pPr>
                  <a:defRPr/>
                </a:pPr>
                <a:r>
                  <a:rPr lang="en-US" altLang="en-US"/>
                  <a:t>Predicted Asphalt Service</a:t>
                </a:r>
                <a:r>
                  <a:rPr lang="en-US" altLang="en-US" baseline="0"/>
                  <a:t> Life (yrs</a:t>
                </a:r>
                <a:r>
                  <a:rPr lang="en-US" altLang="en-US"/>
                  <a:t>)</a:t>
                </a:r>
              </a:p>
            </c:rich>
          </c:tx>
          <c:layout>
            <c:manualLayout>
              <c:xMode val="edge"/>
              <c:yMode val="edge"/>
              <c:x val="4.5818994847866237E-2"/>
              <c:y val="0.10612872786672059"/>
            </c:manualLayout>
          </c:layout>
          <c:overlay val="0"/>
        </c:title>
        <c:numFmt formatCode="General" sourceLinked="1"/>
        <c:majorTickMark val="out"/>
        <c:minorTickMark val="none"/>
        <c:tickLblPos val="nextTo"/>
        <c:crossAx val="395421352"/>
        <c:crosses val="autoZero"/>
        <c:crossBetween val="between"/>
      </c:valAx>
      <c:spPr>
        <a:noFill/>
        <a:ln>
          <a:solidFill>
            <a:schemeClr val="tx1">
              <a:lumMod val="75000"/>
              <a:lumOff val="25000"/>
            </a:schemeClr>
          </a:solidFill>
        </a:ln>
      </c:spPr>
    </c:plotArea>
    <c:legend>
      <c:legendPos val="t"/>
      <c:layout>
        <c:manualLayout>
          <c:xMode val="edge"/>
          <c:yMode val="edge"/>
          <c:x val="0.234960714690303"/>
          <c:y val="1.8550721250581537E-2"/>
          <c:w val="0.765039285309697"/>
          <c:h val="0.1566688538932633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6DF86-2BA6-43E6-88E2-CDE99FC46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Kentrack</dc:title>
  <dc:creator>Tyler.Dick</dc:creator>
  <cp:lastModifiedBy>Teng Wang Office</cp:lastModifiedBy>
  <cp:revision>7</cp:revision>
  <cp:lastPrinted>2015-02-28T23:03:00Z</cp:lastPrinted>
  <dcterms:created xsi:type="dcterms:W3CDTF">2015-03-01T20:47:00Z</dcterms:created>
  <dcterms:modified xsi:type="dcterms:W3CDTF">2015-03-19T08:10:00Z</dcterms:modified>
</cp:coreProperties>
</file>